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2856" w14:textId="77777777" w:rsidR="00B67E6D" w:rsidRPr="006A66CD" w:rsidRDefault="00B67E6D" w:rsidP="006A66CD">
      <w:pPr>
        <w:spacing w:line="360" w:lineRule="auto"/>
        <w:jc w:val="center"/>
        <w:rPr>
          <w:rFonts w:cs="Arial"/>
          <w:sz w:val="22"/>
        </w:rPr>
      </w:pPr>
      <w:bookmarkStart w:id="0" w:name="_Toc450140972"/>
    </w:p>
    <w:p w14:paraId="28F3CEBD" w14:textId="053EF394" w:rsidR="00704BE4" w:rsidRPr="006A66CD" w:rsidRDefault="00920CB3" w:rsidP="00920CB3">
      <w:pPr>
        <w:tabs>
          <w:tab w:val="left" w:pos="1170"/>
        </w:tabs>
        <w:autoSpaceDE w:val="0"/>
        <w:autoSpaceDN w:val="0"/>
        <w:adjustRightInd w:val="0"/>
        <w:rPr>
          <w:rFonts w:cs="Arial"/>
          <w:b/>
          <w:sz w:val="22"/>
        </w:rPr>
      </w:pPr>
      <w:r>
        <w:rPr>
          <w:rFonts w:cs="Arial"/>
          <w:b/>
          <w:sz w:val="22"/>
        </w:rPr>
        <w:tab/>
      </w:r>
    </w:p>
    <w:p w14:paraId="2C4EE0DC" w14:textId="77777777" w:rsidR="00704BE4" w:rsidRPr="006A66CD" w:rsidRDefault="00704BE4" w:rsidP="006A66CD">
      <w:pPr>
        <w:autoSpaceDE w:val="0"/>
        <w:autoSpaceDN w:val="0"/>
        <w:adjustRightInd w:val="0"/>
        <w:jc w:val="center"/>
        <w:rPr>
          <w:rFonts w:cs="Arial"/>
          <w:b/>
          <w:sz w:val="22"/>
        </w:rPr>
      </w:pPr>
    </w:p>
    <w:p w14:paraId="6915143D" w14:textId="77777777" w:rsidR="00704BE4" w:rsidRPr="006A66CD" w:rsidRDefault="00704BE4" w:rsidP="006A66CD">
      <w:pPr>
        <w:autoSpaceDE w:val="0"/>
        <w:autoSpaceDN w:val="0"/>
        <w:adjustRightInd w:val="0"/>
        <w:jc w:val="center"/>
        <w:rPr>
          <w:rFonts w:cs="Arial"/>
          <w:b/>
          <w:sz w:val="22"/>
        </w:rPr>
      </w:pPr>
    </w:p>
    <w:p w14:paraId="68B64A77" w14:textId="77777777" w:rsidR="00704BE4" w:rsidRPr="006A66CD" w:rsidRDefault="00704BE4" w:rsidP="006A66CD">
      <w:pPr>
        <w:autoSpaceDE w:val="0"/>
        <w:autoSpaceDN w:val="0"/>
        <w:adjustRightInd w:val="0"/>
        <w:jc w:val="center"/>
        <w:rPr>
          <w:rFonts w:cs="Arial"/>
          <w:b/>
          <w:sz w:val="22"/>
        </w:rPr>
      </w:pPr>
    </w:p>
    <w:p w14:paraId="34539D0F" w14:textId="77777777" w:rsidR="00704BE4" w:rsidRPr="006A66CD" w:rsidRDefault="00704BE4" w:rsidP="006A66CD">
      <w:pPr>
        <w:autoSpaceDE w:val="0"/>
        <w:autoSpaceDN w:val="0"/>
        <w:adjustRightInd w:val="0"/>
        <w:jc w:val="center"/>
        <w:rPr>
          <w:rFonts w:cs="Arial"/>
          <w:b/>
          <w:sz w:val="22"/>
        </w:rPr>
      </w:pPr>
    </w:p>
    <w:p w14:paraId="06BD1C86" w14:textId="77777777" w:rsidR="00704BE4" w:rsidRPr="006A66CD" w:rsidRDefault="00704BE4" w:rsidP="006A66CD">
      <w:pPr>
        <w:autoSpaceDE w:val="0"/>
        <w:autoSpaceDN w:val="0"/>
        <w:adjustRightInd w:val="0"/>
        <w:jc w:val="center"/>
        <w:rPr>
          <w:rFonts w:cs="Arial"/>
          <w:b/>
          <w:sz w:val="22"/>
        </w:rPr>
      </w:pPr>
    </w:p>
    <w:p w14:paraId="1FFBEC84" w14:textId="3F88CBE3" w:rsidR="00704BE4" w:rsidRPr="00CF51A6" w:rsidRDefault="00C33B31" w:rsidP="006A66CD">
      <w:pPr>
        <w:autoSpaceDE w:val="0"/>
        <w:autoSpaceDN w:val="0"/>
        <w:adjustRightInd w:val="0"/>
        <w:jc w:val="center"/>
        <w:rPr>
          <w:rFonts w:cs="Arial"/>
          <w:b/>
          <w:sz w:val="28"/>
          <w:szCs w:val="28"/>
        </w:rPr>
      </w:pPr>
      <w:r>
        <w:rPr>
          <w:rFonts w:cs="Arial"/>
          <w:b/>
          <w:sz w:val="28"/>
          <w:szCs w:val="28"/>
        </w:rPr>
        <w:t>REAG SECURITIES</w:t>
      </w:r>
      <w:r w:rsidR="00704BE4" w:rsidRPr="00CF51A6">
        <w:rPr>
          <w:rFonts w:cs="Arial"/>
          <w:b/>
          <w:sz w:val="28"/>
          <w:szCs w:val="28"/>
        </w:rPr>
        <w:t xml:space="preserve"> S.A.</w:t>
      </w:r>
    </w:p>
    <w:p w14:paraId="1EAD4166" w14:textId="77777777" w:rsidR="00704BE4" w:rsidRPr="006A66CD" w:rsidRDefault="00704BE4" w:rsidP="006A66CD">
      <w:pPr>
        <w:autoSpaceDE w:val="0"/>
        <w:autoSpaceDN w:val="0"/>
        <w:adjustRightInd w:val="0"/>
        <w:jc w:val="center"/>
        <w:rPr>
          <w:rFonts w:cs="Arial"/>
          <w:b/>
          <w:sz w:val="22"/>
        </w:rPr>
      </w:pPr>
    </w:p>
    <w:p w14:paraId="77B2976E" w14:textId="77777777" w:rsidR="00704BE4" w:rsidRPr="006A66CD" w:rsidRDefault="00704BE4" w:rsidP="006A66CD">
      <w:pPr>
        <w:autoSpaceDE w:val="0"/>
        <w:autoSpaceDN w:val="0"/>
        <w:adjustRightInd w:val="0"/>
        <w:jc w:val="center"/>
        <w:rPr>
          <w:rFonts w:cs="Arial"/>
          <w:b/>
          <w:sz w:val="22"/>
        </w:rPr>
      </w:pPr>
    </w:p>
    <w:p w14:paraId="19684BB4" w14:textId="77777777" w:rsidR="00704BE4" w:rsidRPr="006A66CD" w:rsidRDefault="00704BE4" w:rsidP="006A66CD">
      <w:pPr>
        <w:autoSpaceDE w:val="0"/>
        <w:autoSpaceDN w:val="0"/>
        <w:adjustRightInd w:val="0"/>
        <w:jc w:val="center"/>
        <w:rPr>
          <w:rFonts w:cs="Arial"/>
          <w:b/>
          <w:sz w:val="22"/>
        </w:rPr>
      </w:pPr>
    </w:p>
    <w:p w14:paraId="512CEBDE" w14:textId="77777777" w:rsidR="00704BE4" w:rsidRPr="006A66CD" w:rsidRDefault="00704BE4" w:rsidP="006A66CD">
      <w:pPr>
        <w:autoSpaceDE w:val="0"/>
        <w:autoSpaceDN w:val="0"/>
        <w:adjustRightInd w:val="0"/>
        <w:jc w:val="center"/>
        <w:rPr>
          <w:rFonts w:cs="Arial"/>
          <w:b/>
          <w:sz w:val="22"/>
        </w:rPr>
      </w:pPr>
    </w:p>
    <w:p w14:paraId="43617552" w14:textId="77777777" w:rsidR="00704BE4" w:rsidRPr="006A66CD" w:rsidRDefault="00704BE4" w:rsidP="006A66CD">
      <w:pPr>
        <w:autoSpaceDE w:val="0"/>
        <w:autoSpaceDN w:val="0"/>
        <w:adjustRightInd w:val="0"/>
        <w:jc w:val="center"/>
        <w:rPr>
          <w:rFonts w:cs="Arial"/>
          <w:b/>
          <w:sz w:val="22"/>
        </w:rPr>
      </w:pPr>
    </w:p>
    <w:p w14:paraId="0CDEA42F" w14:textId="5DA4D648" w:rsidR="00704BE4" w:rsidRPr="00CF51A6" w:rsidRDefault="006844D7" w:rsidP="006A66CD">
      <w:pPr>
        <w:autoSpaceDE w:val="0"/>
        <w:autoSpaceDN w:val="0"/>
        <w:adjustRightInd w:val="0"/>
        <w:jc w:val="center"/>
        <w:rPr>
          <w:rFonts w:cs="Arial"/>
          <w:b/>
          <w:sz w:val="28"/>
          <w:szCs w:val="28"/>
        </w:rPr>
      </w:pPr>
      <w:r w:rsidRPr="00CF51A6">
        <w:rPr>
          <w:rFonts w:cs="Arial"/>
          <w:b/>
          <w:sz w:val="28"/>
          <w:szCs w:val="28"/>
        </w:rPr>
        <w:t>CÓDIGO DE ÉTICA</w:t>
      </w:r>
    </w:p>
    <w:p w14:paraId="544D46EF" w14:textId="77777777" w:rsidR="00704BE4" w:rsidRPr="00CF51A6" w:rsidRDefault="00704BE4" w:rsidP="006A66CD">
      <w:pPr>
        <w:autoSpaceDE w:val="0"/>
        <w:autoSpaceDN w:val="0"/>
        <w:adjustRightInd w:val="0"/>
        <w:jc w:val="center"/>
        <w:rPr>
          <w:rFonts w:cs="Arial"/>
          <w:bCs/>
          <w:sz w:val="28"/>
          <w:szCs w:val="28"/>
        </w:rPr>
      </w:pPr>
    </w:p>
    <w:p w14:paraId="33A730F1" w14:textId="77777777" w:rsidR="00704BE4" w:rsidRPr="00E17A0D" w:rsidRDefault="00704BE4" w:rsidP="006A66CD">
      <w:pPr>
        <w:autoSpaceDE w:val="0"/>
        <w:autoSpaceDN w:val="0"/>
        <w:adjustRightInd w:val="0"/>
        <w:jc w:val="center"/>
        <w:rPr>
          <w:rFonts w:cs="Arial"/>
          <w:bCs/>
          <w:sz w:val="28"/>
          <w:szCs w:val="28"/>
        </w:rPr>
      </w:pPr>
    </w:p>
    <w:p w14:paraId="300D5988" w14:textId="77777777" w:rsidR="00704BE4" w:rsidRPr="00CF51A6" w:rsidRDefault="00704BE4" w:rsidP="006A66CD">
      <w:pPr>
        <w:autoSpaceDE w:val="0"/>
        <w:autoSpaceDN w:val="0"/>
        <w:adjustRightInd w:val="0"/>
        <w:jc w:val="center"/>
        <w:rPr>
          <w:rFonts w:cs="Arial"/>
          <w:bCs/>
          <w:sz w:val="28"/>
          <w:szCs w:val="28"/>
        </w:rPr>
      </w:pPr>
    </w:p>
    <w:p w14:paraId="0B3070EE" w14:textId="77777777" w:rsidR="00704BE4" w:rsidRDefault="00704BE4" w:rsidP="006A66CD">
      <w:pPr>
        <w:autoSpaceDE w:val="0"/>
        <w:autoSpaceDN w:val="0"/>
        <w:adjustRightInd w:val="0"/>
        <w:jc w:val="center"/>
        <w:rPr>
          <w:rFonts w:cs="Arial"/>
          <w:bCs/>
          <w:sz w:val="28"/>
          <w:szCs w:val="28"/>
        </w:rPr>
      </w:pPr>
    </w:p>
    <w:p w14:paraId="2CC8F6A8" w14:textId="77777777" w:rsidR="0026451F" w:rsidRDefault="0026451F" w:rsidP="006A66CD">
      <w:pPr>
        <w:autoSpaceDE w:val="0"/>
        <w:autoSpaceDN w:val="0"/>
        <w:adjustRightInd w:val="0"/>
        <w:jc w:val="center"/>
        <w:rPr>
          <w:rFonts w:cs="Arial"/>
          <w:bCs/>
          <w:sz w:val="28"/>
          <w:szCs w:val="28"/>
        </w:rPr>
      </w:pPr>
    </w:p>
    <w:p w14:paraId="4BB32308" w14:textId="77777777" w:rsidR="0026451F" w:rsidRPr="00CF51A6" w:rsidRDefault="0026451F" w:rsidP="006A66CD">
      <w:pPr>
        <w:autoSpaceDE w:val="0"/>
        <w:autoSpaceDN w:val="0"/>
        <w:adjustRightInd w:val="0"/>
        <w:jc w:val="center"/>
        <w:rPr>
          <w:rFonts w:cs="Arial"/>
          <w:bCs/>
          <w:sz w:val="28"/>
          <w:szCs w:val="28"/>
        </w:rPr>
      </w:pPr>
    </w:p>
    <w:p w14:paraId="5C69089E" w14:textId="77777777" w:rsidR="00704BE4" w:rsidRDefault="00704BE4" w:rsidP="006A66CD">
      <w:pPr>
        <w:autoSpaceDE w:val="0"/>
        <w:autoSpaceDN w:val="0"/>
        <w:adjustRightInd w:val="0"/>
        <w:jc w:val="center"/>
        <w:rPr>
          <w:rFonts w:cs="Arial"/>
          <w:bCs/>
          <w:sz w:val="28"/>
          <w:szCs w:val="28"/>
        </w:rPr>
      </w:pPr>
    </w:p>
    <w:p w14:paraId="62FB9C0F" w14:textId="77777777" w:rsidR="00CF769C" w:rsidRPr="00CF51A6" w:rsidRDefault="00CF769C" w:rsidP="006A66CD">
      <w:pPr>
        <w:autoSpaceDE w:val="0"/>
        <w:autoSpaceDN w:val="0"/>
        <w:adjustRightInd w:val="0"/>
        <w:jc w:val="center"/>
        <w:rPr>
          <w:rFonts w:cs="Arial"/>
          <w:bCs/>
          <w:sz w:val="28"/>
          <w:szCs w:val="28"/>
        </w:rPr>
      </w:pPr>
    </w:p>
    <w:tbl>
      <w:tblPr>
        <w:tblStyle w:val="Tabelacomgrade"/>
        <w:tblW w:w="0" w:type="auto"/>
        <w:tblLook w:val="04A0" w:firstRow="1" w:lastRow="0" w:firstColumn="1" w:lastColumn="0" w:noHBand="0" w:noVBand="1"/>
      </w:tblPr>
      <w:tblGrid>
        <w:gridCol w:w="4555"/>
        <w:gridCol w:w="3939"/>
      </w:tblGrid>
      <w:tr w:rsidR="0026451F" w:rsidRPr="00DD4F7C" w14:paraId="39A1F57F" w14:textId="7F44585E" w:rsidTr="0026451F">
        <w:tc>
          <w:tcPr>
            <w:tcW w:w="4555" w:type="dxa"/>
            <w:shd w:val="clear" w:color="auto" w:fill="A8D08D" w:themeFill="accent6" w:themeFillTint="99"/>
          </w:tcPr>
          <w:p w14:paraId="6452054B" w14:textId="21BCE08D" w:rsidR="0026451F" w:rsidRPr="0026451F" w:rsidRDefault="0026451F" w:rsidP="00DD4F7C">
            <w:pPr>
              <w:autoSpaceDE w:val="0"/>
              <w:autoSpaceDN w:val="0"/>
              <w:adjustRightInd w:val="0"/>
              <w:jc w:val="center"/>
              <w:rPr>
                <w:rFonts w:cs="Arial"/>
                <w:b/>
                <w:szCs w:val="24"/>
              </w:rPr>
            </w:pPr>
            <w:r w:rsidRPr="0026451F">
              <w:rPr>
                <w:rFonts w:cs="Arial"/>
                <w:b/>
                <w:szCs w:val="24"/>
              </w:rPr>
              <w:t>Procedimento</w:t>
            </w:r>
          </w:p>
        </w:tc>
        <w:tc>
          <w:tcPr>
            <w:tcW w:w="3939" w:type="dxa"/>
            <w:shd w:val="clear" w:color="auto" w:fill="A8D08D" w:themeFill="accent6" w:themeFillTint="99"/>
          </w:tcPr>
          <w:p w14:paraId="7BFF10E5" w14:textId="179702B7" w:rsidR="0026451F" w:rsidRPr="0026451F" w:rsidRDefault="0026451F" w:rsidP="00DD4F7C">
            <w:pPr>
              <w:autoSpaceDE w:val="0"/>
              <w:autoSpaceDN w:val="0"/>
              <w:adjustRightInd w:val="0"/>
              <w:jc w:val="center"/>
              <w:rPr>
                <w:rFonts w:cs="Arial"/>
                <w:b/>
                <w:szCs w:val="24"/>
              </w:rPr>
            </w:pPr>
            <w:r w:rsidRPr="0026451F">
              <w:rPr>
                <w:rFonts w:cs="Arial"/>
                <w:b/>
                <w:szCs w:val="24"/>
              </w:rPr>
              <w:t>Data</w:t>
            </w:r>
          </w:p>
        </w:tc>
      </w:tr>
      <w:tr w:rsidR="0026451F" w:rsidRPr="00DD4F7C" w14:paraId="002B562B" w14:textId="77777777" w:rsidTr="0026451F">
        <w:tc>
          <w:tcPr>
            <w:tcW w:w="4555" w:type="dxa"/>
          </w:tcPr>
          <w:p w14:paraId="35C2F97A" w14:textId="2F39CF84" w:rsidR="0026451F" w:rsidRPr="0026451F" w:rsidRDefault="0026451F" w:rsidP="00DD4F7C">
            <w:pPr>
              <w:autoSpaceDE w:val="0"/>
              <w:autoSpaceDN w:val="0"/>
              <w:adjustRightInd w:val="0"/>
              <w:jc w:val="center"/>
              <w:rPr>
                <w:rFonts w:cs="Arial"/>
                <w:bCs/>
                <w:szCs w:val="24"/>
              </w:rPr>
            </w:pPr>
            <w:r w:rsidRPr="0026451F">
              <w:rPr>
                <w:rFonts w:cs="Arial"/>
                <w:bCs/>
                <w:szCs w:val="24"/>
              </w:rPr>
              <w:t>Elaboração</w:t>
            </w:r>
          </w:p>
        </w:tc>
        <w:tc>
          <w:tcPr>
            <w:tcW w:w="3939" w:type="dxa"/>
          </w:tcPr>
          <w:p w14:paraId="13E981F5" w14:textId="402C013B" w:rsidR="0026451F" w:rsidRPr="0026451F" w:rsidRDefault="0026451F" w:rsidP="00DD4F7C">
            <w:pPr>
              <w:autoSpaceDE w:val="0"/>
              <w:autoSpaceDN w:val="0"/>
              <w:adjustRightInd w:val="0"/>
              <w:jc w:val="center"/>
              <w:rPr>
                <w:rFonts w:cs="Arial"/>
                <w:bCs/>
                <w:szCs w:val="24"/>
              </w:rPr>
            </w:pPr>
            <w:r w:rsidRPr="0026451F">
              <w:rPr>
                <w:rFonts w:cs="Arial"/>
                <w:bCs/>
                <w:szCs w:val="24"/>
              </w:rPr>
              <w:t>Outubro de 2022</w:t>
            </w:r>
          </w:p>
        </w:tc>
      </w:tr>
      <w:tr w:rsidR="0026451F" w:rsidRPr="00DD4F7C" w14:paraId="287125AD" w14:textId="77777777" w:rsidTr="0026451F">
        <w:tc>
          <w:tcPr>
            <w:tcW w:w="4555" w:type="dxa"/>
          </w:tcPr>
          <w:p w14:paraId="1DCFBBF7" w14:textId="3EF7616D" w:rsidR="0026451F" w:rsidRPr="0026451F" w:rsidRDefault="0026451F" w:rsidP="00DD4F7C">
            <w:pPr>
              <w:autoSpaceDE w:val="0"/>
              <w:autoSpaceDN w:val="0"/>
              <w:adjustRightInd w:val="0"/>
              <w:jc w:val="center"/>
              <w:rPr>
                <w:rFonts w:cs="Arial"/>
                <w:bCs/>
                <w:szCs w:val="24"/>
              </w:rPr>
            </w:pPr>
            <w:r w:rsidRPr="0026451F">
              <w:rPr>
                <w:rFonts w:cs="Arial"/>
                <w:bCs/>
                <w:szCs w:val="24"/>
              </w:rPr>
              <w:t>Revisão, sem alterações</w:t>
            </w:r>
          </w:p>
        </w:tc>
        <w:tc>
          <w:tcPr>
            <w:tcW w:w="3939" w:type="dxa"/>
          </w:tcPr>
          <w:p w14:paraId="456AACBA" w14:textId="493D963E" w:rsidR="0026451F" w:rsidRPr="0026451F" w:rsidRDefault="0026451F" w:rsidP="00DD4F7C">
            <w:pPr>
              <w:autoSpaceDE w:val="0"/>
              <w:autoSpaceDN w:val="0"/>
              <w:adjustRightInd w:val="0"/>
              <w:jc w:val="center"/>
              <w:rPr>
                <w:rFonts w:cs="Arial"/>
                <w:bCs/>
                <w:szCs w:val="24"/>
              </w:rPr>
            </w:pPr>
            <w:r w:rsidRPr="0026451F">
              <w:rPr>
                <w:rFonts w:cs="Arial"/>
                <w:bCs/>
                <w:szCs w:val="24"/>
              </w:rPr>
              <w:t>Outubro de 2023</w:t>
            </w:r>
          </w:p>
        </w:tc>
      </w:tr>
      <w:tr w:rsidR="0026451F" w:rsidRPr="00DD4F7C" w14:paraId="0AF157DB" w14:textId="77777777" w:rsidTr="0026451F">
        <w:tc>
          <w:tcPr>
            <w:tcW w:w="4555" w:type="dxa"/>
          </w:tcPr>
          <w:p w14:paraId="2C735921" w14:textId="60AA57CD" w:rsidR="0026451F" w:rsidRPr="0026451F" w:rsidRDefault="0026451F" w:rsidP="00DD4F7C">
            <w:pPr>
              <w:autoSpaceDE w:val="0"/>
              <w:autoSpaceDN w:val="0"/>
              <w:adjustRightInd w:val="0"/>
              <w:jc w:val="center"/>
              <w:rPr>
                <w:rFonts w:cs="Arial"/>
                <w:bCs/>
                <w:szCs w:val="24"/>
              </w:rPr>
            </w:pPr>
            <w:r w:rsidRPr="0026451F">
              <w:rPr>
                <w:rFonts w:cs="Arial"/>
                <w:bCs/>
                <w:szCs w:val="24"/>
              </w:rPr>
              <w:t>Revisão</w:t>
            </w:r>
            <w:r w:rsidR="00CF769C">
              <w:rPr>
                <w:rFonts w:cs="Arial"/>
                <w:bCs/>
                <w:szCs w:val="24"/>
              </w:rPr>
              <w:t>, com</w:t>
            </w:r>
            <w:r w:rsidRPr="0026451F">
              <w:rPr>
                <w:rFonts w:cs="Arial"/>
                <w:bCs/>
                <w:szCs w:val="24"/>
              </w:rPr>
              <w:t xml:space="preserve"> atualização denominação social</w:t>
            </w:r>
          </w:p>
        </w:tc>
        <w:tc>
          <w:tcPr>
            <w:tcW w:w="3939" w:type="dxa"/>
          </w:tcPr>
          <w:p w14:paraId="602F2027" w14:textId="4F504521" w:rsidR="0026451F" w:rsidRPr="0026451F" w:rsidRDefault="0026451F" w:rsidP="00DD4F7C">
            <w:pPr>
              <w:autoSpaceDE w:val="0"/>
              <w:autoSpaceDN w:val="0"/>
              <w:adjustRightInd w:val="0"/>
              <w:jc w:val="center"/>
              <w:rPr>
                <w:rFonts w:cs="Arial"/>
                <w:bCs/>
                <w:szCs w:val="24"/>
              </w:rPr>
            </w:pPr>
            <w:r w:rsidRPr="0026451F">
              <w:rPr>
                <w:rFonts w:cs="Arial"/>
                <w:bCs/>
                <w:szCs w:val="24"/>
              </w:rPr>
              <w:t>Setembro de 2024</w:t>
            </w:r>
          </w:p>
        </w:tc>
      </w:tr>
      <w:tr w:rsidR="00504228" w:rsidRPr="00DD4F7C" w14:paraId="54C67D23" w14:textId="77777777" w:rsidTr="0026451F">
        <w:tc>
          <w:tcPr>
            <w:tcW w:w="4555" w:type="dxa"/>
          </w:tcPr>
          <w:p w14:paraId="6BDFF5B8" w14:textId="68DEB721" w:rsidR="00504228" w:rsidRPr="0026451F" w:rsidRDefault="00504228" w:rsidP="00DD4F7C">
            <w:pPr>
              <w:autoSpaceDE w:val="0"/>
              <w:autoSpaceDN w:val="0"/>
              <w:adjustRightInd w:val="0"/>
              <w:jc w:val="center"/>
              <w:rPr>
                <w:rFonts w:cs="Arial"/>
                <w:bCs/>
                <w:szCs w:val="24"/>
              </w:rPr>
            </w:pPr>
            <w:r w:rsidRPr="0026451F">
              <w:rPr>
                <w:rFonts w:cs="Arial"/>
                <w:bCs/>
                <w:szCs w:val="24"/>
              </w:rPr>
              <w:t>Revisão, sem alterações</w:t>
            </w:r>
          </w:p>
        </w:tc>
        <w:tc>
          <w:tcPr>
            <w:tcW w:w="3939" w:type="dxa"/>
          </w:tcPr>
          <w:p w14:paraId="09E296F9" w14:textId="62AB5258" w:rsidR="00504228" w:rsidRPr="0026451F" w:rsidRDefault="00504228" w:rsidP="00DD4F7C">
            <w:pPr>
              <w:autoSpaceDE w:val="0"/>
              <w:autoSpaceDN w:val="0"/>
              <w:adjustRightInd w:val="0"/>
              <w:jc w:val="center"/>
              <w:rPr>
                <w:rFonts w:cs="Arial"/>
                <w:bCs/>
                <w:szCs w:val="24"/>
              </w:rPr>
            </w:pPr>
            <w:r w:rsidRPr="0026451F">
              <w:rPr>
                <w:rFonts w:cs="Arial"/>
                <w:bCs/>
                <w:szCs w:val="24"/>
              </w:rPr>
              <w:t>Setembro de 202</w:t>
            </w:r>
            <w:r>
              <w:rPr>
                <w:rFonts w:cs="Arial"/>
                <w:bCs/>
                <w:szCs w:val="24"/>
              </w:rPr>
              <w:t>5</w:t>
            </w:r>
          </w:p>
        </w:tc>
      </w:tr>
    </w:tbl>
    <w:p w14:paraId="09C3C2E5" w14:textId="77777777" w:rsidR="00704BE4" w:rsidRPr="00CF769C" w:rsidRDefault="00704BE4" w:rsidP="006A66CD">
      <w:pPr>
        <w:autoSpaceDE w:val="0"/>
        <w:autoSpaceDN w:val="0"/>
        <w:adjustRightInd w:val="0"/>
        <w:jc w:val="center"/>
        <w:rPr>
          <w:rFonts w:cs="Arial"/>
          <w:bCs/>
          <w:sz w:val="32"/>
          <w:szCs w:val="32"/>
        </w:rPr>
      </w:pPr>
    </w:p>
    <w:p w14:paraId="36188483" w14:textId="77777777" w:rsidR="00704BE4" w:rsidRPr="00CF769C" w:rsidRDefault="00704BE4" w:rsidP="006A66CD">
      <w:pPr>
        <w:autoSpaceDE w:val="0"/>
        <w:autoSpaceDN w:val="0"/>
        <w:adjustRightInd w:val="0"/>
        <w:jc w:val="center"/>
        <w:rPr>
          <w:rFonts w:cs="Arial"/>
          <w:bCs/>
          <w:sz w:val="32"/>
          <w:szCs w:val="32"/>
        </w:rPr>
      </w:pPr>
    </w:p>
    <w:p w14:paraId="42E9272A" w14:textId="320E5202" w:rsidR="00B67E6D" w:rsidRPr="00CF769C" w:rsidRDefault="00704BE4" w:rsidP="006A66CD">
      <w:pPr>
        <w:rPr>
          <w:rFonts w:cs="Arial"/>
          <w:sz w:val="32"/>
          <w:szCs w:val="32"/>
        </w:rPr>
      </w:pPr>
      <w:r w:rsidRPr="00CF769C">
        <w:rPr>
          <w:rFonts w:cs="Arial"/>
          <w:sz w:val="32"/>
          <w:szCs w:val="32"/>
        </w:rPr>
        <w:br w:type="page"/>
      </w:r>
    </w:p>
    <w:p w14:paraId="041C1BA9" w14:textId="428AFB71" w:rsidR="00A80EC6" w:rsidRPr="003621EF" w:rsidRDefault="00A80EC6" w:rsidP="006A66CD">
      <w:pPr>
        <w:pStyle w:val="PargrafodaLista"/>
        <w:numPr>
          <w:ilvl w:val="0"/>
          <w:numId w:val="5"/>
        </w:numPr>
        <w:spacing w:after="0" w:line="360" w:lineRule="auto"/>
        <w:ind w:left="0" w:firstLine="0"/>
        <w:jc w:val="both"/>
        <w:rPr>
          <w:rFonts w:cs="Arial"/>
          <w:b/>
          <w:bCs/>
          <w:sz w:val="22"/>
        </w:rPr>
      </w:pPr>
      <w:r w:rsidRPr="003621EF">
        <w:rPr>
          <w:rFonts w:cs="Arial"/>
          <w:b/>
          <w:bCs/>
          <w:sz w:val="22"/>
        </w:rPr>
        <w:lastRenderedPageBreak/>
        <w:t>Introdução</w:t>
      </w:r>
    </w:p>
    <w:p w14:paraId="6DAA69C4" w14:textId="77777777" w:rsidR="006A66CD" w:rsidRDefault="006A66CD" w:rsidP="006A66CD">
      <w:pPr>
        <w:spacing w:after="0" w:line="360" w:lineRule="auto"/>
        <w:jc w:val="both"/>
        <w:rPr>
          <w:rFonts w:cs="Arial"/>
          <w:sz w:val="22"/>
        </w:rPr>
      </w:pPr>
    </w:p>
    <w:p w14:paraId="13FBEB9F" w14:textId="11653DA2" w:rsidR="00A80EC6" w:rsidRPr="006A66CD" w:rsidRDefault="00DC0C88" w:rsidP="006A66CD">
      <w:pPr>
        <w:spacing w:after="0" w:line="360" w:lineRule="auto"/>
        <w:jc w:val="both"/>
        <w:rPr>
          <w:rFonts w:cs="Arial"/>
          <w:bCs/>
          <w:sz w:val="22"/>
        </w:rPr>
      </w:pPr>
      <w:r w:rsidRPr="006A66CD">
        <w:rPr>
          <w:rFonts w:cs="Arial"/>
          <w:sz w:val="22"/>
        </w:rPr>
        <w:t>A</w:t>
      </w:r>
      <w:r w:rsidR="0067374E" w:rsidRPr="006A66CD">
        <w:rPr>
          <w:rFonts w:cs="Arial"/>
          <w:sz w:val="22"/>
        </w:rPr>
        <w:t xml:space="preserve"> </w:t>
      </w:r>
      <w:r w:rsidR="00C33B31">
        <w:rPr>
          <w:rFonts w:cs="Arial"/>
          <w:sz w:val="22"/>
        </w:rPr>
        <w:t>REAG Securities</w:t>
      </w:r>
      <w:r w:rsidR="0067374E" w:rsidRPr="006A66CD">
        <w:rPr>
          <w:rFonts w:cs="Arial"/>
          <w:sz w:val="22"/>
        </w:rPr>
        <w:t xml:space="preserve"> S.A. </w:t>
      </w:r>
      <w:r w:rsidRPr="006A66CD">
        <w:rPr>
          <w:rFonts w:cs="Arial"/>
          <w:sz w:val="22"/>
        </w:rPr>
        <w:t>(“</w:t>
      </w:r>
      <w:r w:rsidR="00C33B31">
        <w:rPr>
          <w:rFonts w:cs="Arial"/>
          <w:sz w:val="22"/>
        </w:rPr>
        <w:t>REAG Securities</w:t>
      </w:r>
      <w:r w:rsidRPr="006A66CD">
        <w:rPr>
          <w:rFonts w:cs="Arial"/>
          <w:sz w:val="22"/>
        </w:rPr>
        <w:t>”</w:t>
      </w:r>
      <w:r w:rsidR="00612028" w:rsidRPr="006A66CD">
        <w:rPr>
          <w:rFonts w:cs="Arial"/>
          <w:sz w:val="22"/>
        </w:rPr>
        <w:t xml:space="preserve"> ou “</w:t>
      </w:r>
      <w:r w:rsidR="00612028" w:rsidRPr="003621EF">
        <w:rPr>
          <w:rFonts w:cs="Arial"/>
          <w:sz w:val="22"/>
          <w:u w:val="single"/>
        </w:rPr>
        <w:t>Companhia</w:t>
      </w:r>
      <w:r w:rsidR="00612028" w:rsidRPr="006A66CD">
        <w:rPr>
          <w:rFonts w:cs="Arial"/>
          <w:sz w:val="22"/>
        </w:rPr>
        <w:t>”</w:t>
      </w:r>
      <w:r w:rsidRPr="006A66CD">
        <w:rPr>
          <w:rFonts w:cs="Arial"/>
          <w:sz w:val="22"/>
        </w:rPr>
        <w:t>)</w:t>
      </w:r>
      <w:r w:rsidR="00031E36" w:rsidRPr="006A66CD">
        <w:rPr>
          <w:rFonts w:cs="Arial"/>
          <w:sz w:val="22"/>
        </w:rPr>
        <w:t xml:space="preserve">, na </w:t>
      </w:r>
      <w:r w:rsidR="00031E36" w:rsidRPr="006A66CD">
        <w:rPr>
          <w:rFonts w:cs="Arial"/>
          <w:bCs/>
          <w:sz w:val="22"/>
        </w:rPr>
        <w:t>condução e no melhor exercício de suas atividades e responsabilidade como companhia de securitização</w:t>
      </w:r>
      <w:r w:rsidR="00456158" w:rsidRPr="006A66CD">
        <w:rPr>
          <w:rFonts w:cs="Arial"/>
          <w:bCs/>
          <w:sz w:val="22"/>
        </w:rPr>
        <w:t xml:space="preserve"> estabelece seu Código de Ética (“</w:t>
      </w:r>
      <w:r w:rsidR="00456158" w:rsidRPr="003621EF">
        <w:rPr>
          <w:rFonts w:cs="Arial"/>
          <w:bCs/>
          <w:sz w:val="22"/>
          <w:u w:val="single"/>
        </w:rPr>
        <w:t>Código</w:t>
      </w:r>
      <w:r w:rsidR="00456158" w:rsidRPr="006A66CD">
        <w:rPr>
          <w:rFonts w:cs="Arial"/>
          <w:bCs/>
          <w:sz w:val="22"/>
        </w:rPr>
        <w:t>”)</w:t>
      </w:r>
      <w:r w:rsidR="00F60EBD" w:rsidRPr="006A66CD">
        <w:rPr>
          <w:rFonts w:cs="Arial"/>
          <w:bCs/>
          <w:sz w:val="22"/>
        </w:rPr>
        <w:t>, que deve ser observado</w:t>
      </w:r>
      <w:r w:rsidR="00C71EF0" w:rsidRPr="006A66CD">
        <w:rPr>
          <w:rFonts w:cs="Arial"/>
          <w:bCs/>
          <w:sz w:val="22"/>
        </w:rPr>
        <w:t xml:space="preserve"> por todos os seus sócios, administradores, colaboradores, </w:t>
      </w:r>
      <w:r w:rsidR="00CC0AF0" w:rsidRPr="006A66CD">
        <w:rPr>
          <w:rFonts w:cs="Arial"/>
          <w:bCs/>
          <w:sz w:val="22"/>
        </w:rPr>
        <w:t>funcionários,</w:t>
      </w:r>
      <w:r w:rsidR="00C71EF0" w:rsidRPr="006A66CD">
        <w:rPr>
          <w:rFonts w:cs="Arial"/>
          <w:bCs/>
          <w:sz w:val="22"/>
        </w:rPr>
        <w:t xml:space="preserve"> prestadores de serviços e parceiros de negócio (“</w:t>
      </w:r>
      <w:r w:rsidR="00C71EF0" w:rsidRPr="003621EF">
        <w:rPr>
          <w:rFonts w:cs="Arial"/>
          <w:bCs/>
          <w:sz w:val="22"/>
          <w:u w:val="single"/>
        </w:rPr>
        <w:t>Colaboradores</w:t>
      </w:r>
      <w:r w:rsidR="00C71EF0" w:rsidRPr="006A66CD">
        <w:rPr>
          <w:rFonts w:cs="Arial"/>
          <w:bCs/>
          <w:sz w:val="22"/>
        </w:rPr>
        <w:t>”).</w:t>
      </w:r>
    </w:p>
    <w:p w14:paraId="0C4BEB4C" w14:textId="77777777" w:rsidR="00C71EF0" w:rsidRPr="006A66CD" w:rsidRDefault="00C71EF0" w:rsidP="006A66CD">
      <w:pPr>
        <w:spacing w:after="0" w:line="360" w:lineRule="auto"/>
        <w:jc w:val="both"/>
        <w:rPr>
          <w:rFonts w:cs="Arial"/>
          <w:bCs/>
          <w:sz w:val="22"/>
        </w:rPr>
      </w:pPr>
    </w:p>
    <w:p w14:paraId="63508D70" w14:textId="54CE5958" w:rsidR="00C71EF0" w:rsidRPr="003621EF" w:rsidRDefault="00C71EF0" w:rsidP="006A66CD">
      <w:pPr>
        <w:pStyle w:val="PargrafodaLista"/>
        <w:numPr>
          <w:ilvl w:val="0"/>
          <w:numId w:val="5"/>
        </w:numPr>
        <w:spacing w:after="0" w:line="360" w:lineRule="auto"/>
        <w:ind w:left="0" w:firstLine="0"/>
        <w:jc w:val="both"/>
        <w:rPr>
          <w:rFonts w:cs="Arial"/>
          <w:b/>
          <w:bCs/>
          <w:sz w:val="22"/>
        </w:rPr>
      </w:pPr>
      <w:r w:rsidRPr="003621EF">
        <w:rPr>
          <w:rFonts w:cs="Arial"/>
          <w:b/>
          <w:bCs/>
          <w:sz w:val="22"/>
        </w:rPr>
        <w:t>Objetivos</w:t>
      </w:r>
    </w:p>
    <w:p w14:paraId="04905FAC" w14:textId="77777777" w:rsidR="006A66CD" w:rsidRDefault="006A66CD" w:rsidP="006A66CD">
      <w:pPr>
        <w:spacing w:after="0" w:line="360" w:lineRule="auto"/>
        <w:jc w:val="both"/>
        <w:rPr>
          <w:rFonts w:cs="Arial"/>
          <w:sz w:val="22"/>
        </w:rPr>
      </w:pPr>
    </w:p>
    <w:p w14:paraId="26007940" w14:textId="5D99FEF0" w:rsidR="00C71EF0" w:rsidRPr="006A66CD" w:rsidRDefault="00C71EF0" w:rsidP="006A66CD">
      <w:pPr>
        <w:spacing w:after="0" w:line="360" w:lineRule="auto"/>
        <w:jc w:val="both"/>
        <w:rPr>
          <w:rFonts w:cs="Arial"/>
          <w:sz w:val="22"/>
        </w:rPr>
      </w:pPr>
      <w:r w:rsidRPr="006A66CD">
        <w:rPr>
          <w:rFonts w:cs="Arial"/>
          <w:sz w:val="22"/>
        </w:rPr>
        <w:t xml:space="preserve">O Código </w:t>
      </w:r>
      <w:r w:rsidR="00605F71" w:rsidRPr="006A66CD">
        <w:rPr>
          <w:rFonts w:cs="Arial"/>
          <w:sz w:val="22"/>
        </w:rPr>
        <w:t xml:space="preserve">da </w:t>
      </w:r>
      <w:r w:rsidR="00C33B31">
        <w:rPr>
          <w:rFonts w:cs="Arial"/>
          <w:sz w:val="22"/>
        </w:rPr>
        <w:t>REAG Securities</w:t>
      </w:r>
      <w:r w:rsidR="00C33B31" w:rsidRPr="006A66CD">
        <w:rPr>
          <w:rFonts w:cs="Arial"/>
          <w:sz w:val="22"/>
        </w:rPr>
        <w:t xml:space="preserve"> </w:t>
      </w:r>
      <w:r w:rsidR="00605F71" w:rsidRPr="006A66CD">
        <w:rPr>
          <w:rFonts w:cs="Arial"/>
          <w:sz w:val="22"/>
        </w:rPr>
        <w:t>tem por objetivo</w:t>
      </w:r>
      <w:r w:rsidR="00881557" w:rsidRPr="006A66CD">
        <w:rPr>
          <w:rFonts w:cs="Arial"/>
          <w:sz w:val="22"/>
        </w:rPr>
        <w:t xml:space="preserve"> concretizar os deveres a serem observados por seus Colaboradores</w:t>
      </w:r>
      <w:r w:rsidR="00F22EAB">
        <w:rPr>
          <w:rFonts w:cs="Arial"/>
          <w:sz w:val="22"/>
        </w:rPr>
        <w:t xml:space="preserve"> </w:t>
      </w:r>
      <w:r w:rsidR="001A5B6F" w:rsidRPr="006A66CD">
        <w:rPr>
          <w:rFonts w:cs="Arial"/>
          <w:sz w:val="22"/>
        </w:rPr>
        <w:t xml:space="preserve">no dia a dia da </w:t>
      </w:r>
      <w:r w:rsidR="00612028" w:rsidRPr="006A66CD">
        <w:rPr>
          <w:rFonts w:cs="Arial"/>
          <w:sz w:val="22"/>
        </w:rPr>
        <w:t>Companhia</w:t>
      </w:r>
      <w:r w:rsidR="00881557" w:rsidRPr="006A66CD">
        <w:rPr>
          <w:rFonts w:cs="Arial"/>
          <w:sz w:val="22"/>
        </w:rPr>
        <w:t>, nos termos da Resolução CVM nº 60.</w:t>
      </w:r>
    </w:p>
    <w:p w14:paraId="595B0D4C" w14:textId="77777777" w:rsidR="00966A74" w:rsidRPr="006A66CD" w:rsidRDefault="00966A74" w:rsidP="006A66CD">
      <w:pPr>
        <w:spacing w:after="0" w:line="360" w:lineRule="auto"/>
        <w:jc w:val="both"/>
        <w:rPr>
          <w:rFonts w:cs="Arial"/>
          <w:sz w:val="22"/>
        </w:rPr>
      </w:pPr>
    </w:p>
    <w:p w14:paraId="0D6D2BE5" w14:textId="23E1851E" w:rsidR="00810323" w:rsidRPr="00FF5F4A" w:rsidRDefault="00810323" w:rsidP="006A66CD">
      <w:pPr>
        <w:pStyle w:val="PargrafodaLista"/>
        <w:numPr>
          <w:ilvl w:val="0"/>
          <w:numId w:val="5"/>
        </w:numPr>
        <w:spacing w:after="0" w:line="360" w:lineRule="auto"/>
        <w:ind w:left="0" w:firstLine="0"/>
        <w:jc w:val="both"/>
        <w:rPr>
          <w:rFonts w:cs="Arial"/>
          <w:b/>
          <w:bCs/>
          <w:sz w:val="22"/>
        </w:rPr>
      </w:pPr>
      <w:r w:rsidRPr="00FF5F4A">
        <w:rPr>
          <w:rFonts w:cs="Arial"/>
          <w:b/>
          <w:bCs/>
          <w:sz w:val="22"/>
        </w:rPr>
        <w:t>Exposições Iniciais</w:t>
      </w:r>
    </w:p>
    <w:p w14:paraId="385D7509" w14:textId="77777777" w:rsidR="006A66CD" w:rsidRDefault="006A66CD" w:rsidP="006A66CD">
      <w:pPr>
        <w:spacing w:after="0" w:line="360" w:lineRule="auto"/>
        <w:jc w:val="both"/>
        <w:rPr>
          <w:rFonts w:cs="Arial"/>
          <w:sz w:val="22"/>
        </w:rPr>
      </w:pPr>
    </w:p>
    <w:p w14:paraId="78BF7C46" w14:textId="6BA99DCC" w:rsidR="00FB672C" w:rsidRPr="006A66CD" w:rsidRDefault="00810323" w:rsidP="006A66CD">
      <w:pPr>
        <w:spacing w:after="0" w:line="360" w:lineRule="auto"/>
        <w:jc w:val="both"/>
        <w:rPr>
          <w:rFonts w:cs="Arial"/>
          <w:sz w:val="22"/>
        </w:rPr>
      </w:pPr>
      <w:r w:rsidRPr="006A66CD">
        <w:rPr>
          <w:rFonts w:cs="Arial"/>
          <w:sz w:val="22"/>
        </w:rPr>
        <w:t>O</w:t>
      </w:r>
      <w:r w:rsidR="00892638" w:rsidRPr="006A66CD">
        <w:rPr>
          <w:rFonts w:cs="Arial"/>
          <w:sz w:val="22"/>
        </w:rPr>
        <w:t xml:space="preserve">s Colaboradores deverão receber uma cópia deste Código e ainda de todas as políticas e manuais da </w:t>
      </w:r>
      <w:r w:rsidR="00C33B31">
        <w:rPr>
          <w:rFonts w:cs="Arial"/>
          <w:sz w:val="22"/>
        </w:rPr>
        <w:t>REAG Securities</w:t>
      </w:r>
      <w:r w:rsidR="00892638" w:rsidRPr="006A66CD">
        <w:rPr>
          <w:rFonts w:cs="Arial"/>
          <w:sz w:val="22"/>
        </w:rPr>
        <w:t xml:space="preserve">, e firmar um Termo de Adesão aos Manuais e Políticas da Sociedade. </w:t>
      </w:r>
      <w:r w:rsidR="00B91A39" w:rsidRPr="006A66CD">
        <w:rPr>
          <w:rFonts w:cs="Arial"/>
          <w:sz w:val="22"/>
        </w:rPr>
        <w:t>A</w:t>
      </w:r>
      <w:r w:rsidRPr="006A66CD">
        <w:rPr>
          <w:rFonts w:cs="Arial"/>
          <w:sz w:val="22"/>
        </w:rPr>
        <w:t xml:space="preserve"> Diretor</w:t>
      </w:r>
      <w:r w:rsidR="00B91A39" w:rsidRPr="006A66CD">
        <w:rPr>
          <w:rFonts w:cs="Arial"/>
          <w:sz w:val="22"/>
        </w:rPr>
        <w:t>a</w:t>
      </w:r>
      <w:r w:rsidR="00892638" w:rsidRPr="006A66CD">
        <w:rPr>
          <w:rFonts w:cs="Arial"/>
          <w:sz w:val="22"/>
        </w:rPr>
        <w:t xml:space="preserve"> de Compliance manterá em arquivo, na sede da </w:t>
      </w:r>
      <w:r w:rsidR="00C33B31">
        <w:rPr>
          <w:rFonts w:cs="Arial"/>
          <w:sz w:val="22"/>
        </w:rPr>
        <w:t>REAG Securities</w:t>
      </w:r>
      <w:r w:rsidR="00C33B31" w:rsidRPr="006A66CD" w:rsidDel="00C33B31">
        <w:rPr>
          <w:rFonts w:cs="Arial"/>
          <w:sz w:val="22"/>
        </w:rPr>
        <w:t xml:space="preserve"> </w:t>
      </w:r>
      <w:r w:rsidR="00892638" w:rsidRPr="006A66CD">
        <w:rPr>
          <w:rFonts w:cs="Arial"/>
          <w:sz w:val="22"/>
        </w:rPr>
        <w:t>pelo prazo mínimo de 5 (cinco) anos, uma via original do Termo de Adesão devidamente assinado por cada Colaborador.</w:t>
      </w:r>
    </w:p>
    <w:p w14:paraId="142363A7" w14:textId="77777777" w:rsidR="006A66CD" w:rsidRDefault="006A66CD" w:rsidP="006A66CD">
      <w:pPr>
        <w:spacing w:after="0" w:line="360" w:lineRule="auto"/>
        <w:jc w:val="both"/>
        <w:rPr>
          <w:rFonts w:cs="Arial"/>
          <w:sz w:val="22"/>
        </w:rPr>
      </w:pPr>
    </w:p>
    <w:p w14:paraId="64A34288" w14:textId="2A0E074D" w:rsidR="00FB672C" w:rsidRPr="006A66CD" w:rsidRDefault="000452E3" w:rsidP="006A66CD">
      <w:pPr>
        <w:spacing w:after="0" w:line="360" w:lineRule="auto"/>
        <w:jc w:val="both"/>
        <w:rPr>
          <w:rFonts w:cs="Arial"/>
          <w:sz w:val="22"/>
        </w:rPr>
      </w:pPr>
      <w:r w:rsidRPr="006A66CD">
        <w:rPr>
          <w:rFonts w:cs="Arial"/>
          <w:sz w:val="22"/>
        </w:rPr>
        <w:t>A</w:t>
      </w:r>
      <w:r w:rsidR="00FB672C" w:rsidRPr="006A66CD">
        <w:rPr>
          <w:rFonts w:cs="Arial"/>
          <w:sz w:val="22"/>
        </w:rPr>
        <w:t xml:space="preserve"> </w:t>
      </w:r>
      <w:r w:rsidR="00C33B31">
        <w:rPr>
          <w:rFonts w:cs="Arial"/>
          <w:sz w:val="22"/>
        </w:rPr>
        <w:t>REAG Securities</w:t>
      </w:r>
      <w:r w:rsidR="00C33B31" w:rsidRPr="006A66CD" w:rsidDel="00C33B31">
        <w:rPr>
          <w:rFonts w:cs="Arial"/>
          <w:sz w:val="22"/>
        </w:rPr>
        <w:t xml:space="preserve"> </w:t>
      </w:r>
      <w:r w:rsidR="00FB672C" w:rsidRPr="006A66CD">
        <w:rPr>
          <w:rFonts w:cs="Arial"/>
          <w:sz w:val="22"/>
        </w:rPr>
        <w:t xml:space="preserve">disponibilizará uma cópia deste </w:t>
      </w:r>
      <w:r w:rsidR="00EA109A" w:rsidRPr="006A66CD">
        <w:rPr>
          <w:rFonts w:cs="Arial"/>
          <w:sz w:val="22"/>
        </w:rPr>
        <w:t>Código</w:t>
      </w:r>
      <w:r w:rsidR="00FB672C" w:rsidRPr="006A66CD">
        <w:rPr>
          <w:rFonts w:cs="Arial"/>
          <w:sz w:val="22"/>
        </w:rPr>
        <w:t xml:space="preserve"> em sua sede para consulta.</w:t>
      </w:r>
      <w:r w:rsidRPr="006A66CD">
        <w:rPr>
          <w:rFonts w:cs="Arial"/>
          <w:sz w:val="22"/>
        </w:rPr>
        <w:t xml:space="preserve"> </w:t>
      </w:r>
      <w:r w:rsidR="00FB672C" w:rsidRPr="006A66CD">
        <w:rPr>
          <w:rFonts w:cs="Arial"/>
          <w:sz w:val="22"/>
        </w:rPr>
        <w:t xml:space="preserve">Em caso de dúvidas acerca da interpretação das regras contidas neste </w:t>
      </w:r>
      <w:r w:rsidR="00EA109A" w:rsidRPr="006A66CD">
        <w:rPr>
          <w:rFonts w:cs="Arial"/>
          <w:sz w:val="22"/>
        </w:rPr>
        <w:t>Código</w:t>
      </w:r>
      <w:r w:rsidR="00FB672C" w:rsidRPr="006A66CD">
        <w:rPr>
          <w:rFonts w:cs="Arial"/>
          <w:sz w:val="22"/>
        </w:rPr>
        <w:t xml:space="preserve">, ou havendo necessidade de aconselhamento, o Colaborador deverá buscar auxílio junto </w:t>
      </w:r>
      <w:r w:rsidRPr="006A66CD">
        <w:rPr>
          <w:rFonts w:cs="Arial"/>
          <w:sz w:val="22"/>
        </w:rPr>
        <w:t>ao</w:t>
      </w:r>
      <w:r w:rsidR="00FB672C" w:rsidRPr="006A66CD">
        <w:rPr>
          <w:rFonts w:cs="Arial"/>
          <w:sz w:val="22"/>
        </w:rPr>
        <w:t xml:space="preserve"> Diretor de Compliance. </w:t>
      </w:r>
    </w:p>
    <w:p w14:paraId="5EC1246C" w14:textId="77777777" w:rsidR="006A66CD" w:rsidRDefault="006A66CD" w:rsidP="006A66CD">
      <w:pPr>
        <w:spacing w:after="0" w:line="360" w:lineRule="auto"/>
        <w:jc w:val="both"/>
        <w:rPr>
          <w:rFonts w:cs="Arial"/>
          <w:sz w:val="22"/>
        </w:rPr>
      </w:pPr>
    </w:p>
    <w:p w14:paraId="2F7A3C0F" w14:textId="2CB2B471" w:rsidR="00FB672C" w:rsidRPr="006A66CD" w:rsidRDefault="00FB672C" w:rsidP="006A66CD">
      <w:pPr>
        <w:spacing w:after="0" w:line="360" w:lineRule="auto"/>
        <w:jc w:val="both"/>
        <w:rPr>
          <w:rFonts w:cs="Arial"/>
          <w:sz w:val="22"/>
        </w:rPr>
      </w:pPr>
      <w:r w:rsidRPr="006A66CD">
        <w:rPr>
          <w:rFonts w:cs="Arial"/>
          <w:sz w:val="22"/>
        </w:rPr>
        <w:t xml:space="preserve">O descumprimento das regras previstas neste </w:t>
      </w:r>
      <w:r w:rsidR="00EA109A" w:rsidRPr="006A66CD">
        <w:rPr>
          <w:rFonts w:cs="Arial"/>
          <w:sz w:val="22"/>
        </w:rPr>
        <w:t>Código</w:t>
      </w:r>
      <w:r w:rsidRPr="006A66CD">
        <w:rPr>
          <w:rFonts w:cs="Arial"/>
          <w:sz w:val="22"/>
        </w:rPr>
        <w:t xml:space="preserve"> será considerado infração contratual e ensejará a imposição de penalidades, nos termos do </w:t>
      </w:r>
      <w:r w:rsidR="00EA109A" w:rsidRPr="006A66CD">
        <w:rPr>
          <w:rFonts w:cs="Arial"/>
          <w:sz w:val="22"/>
        </w:rPr>
        <w:t>disposto</w:t>
      </w:r>
      <w:r w:rsidRPr="006A66CD">
        <w:rPr>
          <w:rFonts w:cs="Arial"/>
          <w:sz w:val="22"/>
        </w:rPr>
        <w:t xml:space="preserve"> abaixo, sem prejuízo das eventuais medidas legais cabíveis. </w:t>
      </w:r>
    </w:p>
    <w:p w14:paraId="7F5EDBFE" w14:textId="77777777" w:rsidR="00FB672C" w:rsidRPr="006A66CD" w:rsidRDefault="00FB672C" w:rsidP="006A66CD">
      <w:pPr>
        <w:spacing w:after="0" w:line="360" w:lineRule="auto"/>
        <w:jc w:val="both"/>
        <w:rPr>
          <w:rFonts w:cs="Arial"/>
          <w:sz w:val="22"/>
        </w:rPr>
      </w:pPr>
    </w:p>
    <w:p w14:paraId="51366CB8" w14:textId="31AC1CC6" w:rsidR="00FB672C" w:rsidRPr="00FF5F4A" w:rsidRDefault="00DF0A0A" w:rsidP="006A66CD">
      <w:pPr>
        <w:pStyle w:val="PargrafodaLista"/>
        <w:numPr>
          <w:ilvl w:val="0"/>
          <w:numId w:val="5"/>
        </w:numPr>
        <w:spacing w:after="0" w:line="360" w:lineRule="auto"/>
        <w:ind w:left="0" w:firstLine="0"/>
        <w:jc w:val="both"/>
        <w:rPr>
          <w:rFonts w:cs="Arial"/>
          <w:b/>
          <w:bCs/>
          <w:sz w:val="22"/>
        </w:rPr>
      </w:pPr>
      <w:r w:rsidRPr="00FF5F4A">
        <w:rPr>
          <w:rFonts w:cs="Arial"/>
          <w:b/>
          <w:bCs/>
          <w:sz w:val="22"/>
        </w:rPr>
        <w:t>Princípios Fundamentais</w:t>
      </w:r>
    </w:p>
    <w:bookmarkEnd w:id="0"/>
    <w:p w14:paraId="1EAC623F" w14:textId="77777777" w:rsidR="006A66CD" w:rsidRDefault="006A66CD" w:rsidP="006A66CD">
      <w:pPr>
        <w:spacing w:after="0" w:line="360" w:lineRule="auto"/>
        <w:jc w:val="both"/>
        <w:rPr>
          <w:rFonts w:cs="Arial"/>
          <w:sz w:val="22"/>
        </w:rPr>
      </w:pPr>
    </w:p>
    <w:p w14:paraId="03E7F052" w14:textId="0A8B6AC5" w:rsidR="00FF5F4A" w:rsidRPr="006A66CD" w:rsidRDefault="00FB672C" w:rsidP="006A66CD">
      <w:pPr>
        <w:spacing w:after="0" w:line="360" w:lineRule="auto"/>
        <w:jc w:val="both"/>
        <w:rPr>
          <w:rFonts w:cs="Arial"/>
          <w:sz w:val="22"/>
        </w:rPr>
      </w:pPr>
      <w:r w:rsidRPr="006A66CD">
        <w:rPr>
          <w:rFonts w:cs="Arial"/>
          <w:sz w:val="22"/>
        </w:rPr>
        <w:t xml:space="preserve">Os Colaboradores devem pautar suas atividades nos princípios da boa-fé, </w:t>
      </w:r>
      <w:r w:rsidR="000420E9" w:rsidRPr="006A66CD">
        <w:rPr>
          <w:rFonts w:cs="Arial"/>
          <w:sz w:val="22"/>
        </w:rPr>
        <w:t xml:space="preserve">transparência, diligência, </w:t>
      </w:r>
      <w:r w:rsidRPr="006A66CD">
        <w:rPr>
          <w:rFonts w:cs="Arial"/>
          <w:sz w:val="22"/>
        </w:rPr>
        <w:t>lealdade e veracidade, baseando-se nos seguintes princípios e valores fundamentais:</w:t>
      </w:r>
    </w:p>
    <w:p w14:paraId="7D350A84" w14:textId="17EA8F4F" w:rsidR="00FB672C" w:rsidRPr="006A66CD" w:rsidRDefault="00FE4CDC" w:rsidP="00FF5F4A">
      <w:pPr>
        <w:spacing w:after="0" w:line="360" w:lineRule="auto"/>
        <w:ind w:left="708"/>
        <w:jc w:val="both"/>
        <w:rPr>
          <w:rFonts w:cs="Arial"/>
          <w:sz w:val="22"/>
        </w:rPr>
      </w:pPr>
      <w:r w:rsidRPr="006A66CD">
        <w:rPr>
          <w:rFonts w:cs="Arial"/>
          <w:sz w:val="22"/>
        </w:rPr>
        <w:t xml:space="preserve">(i) </w:t>
      </w:r>
      <w:r w:rsidR="00FB672C" w:rsidRPr="006A66CD">
        <w:rPr>
          <w:rFonts w:cs="Arial"/>
          <w:sz w:val="22"/>
        </w:rPr>
        <w:t xml:space="preserve">cumprir as leis, normas, regulamentos e políticas aplicáveis a si próprios e à </w:t>
      </w:r>
      <w:r w:rsidR="00C33B31">
        <w:rPr>
          <w:rFonts w:cs="Arial"/>
          <w:sz w:val="22"/>
        </w:rPr>
        <w:t>REAG Securities</w:t>
      </w:r>
      <w:r w:rsidR="00FB672C" w:rsidRPr="006A66CD">
        <w:rPr>
          <w:rFonts w:cs="Arial"/>
          <w:sz w:val="22"/>
        </w:rPr>
        <w:t>;</w:t>
      </w:r>
    </w:p>
    <w:p w14:paraId="3F50C21C" w14:textId="172DB61D" w:rsidR="00FB672C" w:rsidRPr="006A66CD" w:rsidRDefault="00414B17" w:rsidP="00FF5F4A">
      <w:pPr>
        <w:spacing w:after="0" w:line="360" w:lineRule="auto"/>
        <w:ind w:left="708"/>
        <w:jc w:val="both"/>
        <w:rPr>
          <w:rFonts w:cs="Arial"/>
          <w:sz w:val="22"/>
        </w:rPr>
      </w:pPr>
      <w:r w:rsidRPr="006A66CD">
        <w:rPr>
          <w:rFonts w:cs="Arial"/>
          <w:sz w:val="22"/>
        </w:rPr>
        <w:t xml:space="preserve">(ii) </w:t>
      </w:r>
      <w:r w:rsidR="00FB672C" w:rsidRPr="006A66CD">
        <w:rPr>
          <w:rFonts w:cs="Arial"/>
          <w:sz w:val="22"/>
        </w:rPr>
        <w:t>empregar o cuidado e a diligência que todo homem ativo e probo costuma dispensar à administração de seus próprios negócios;</w:t>
      </w:r>
    </w:p>
    <w:p w14:paraId="0CD3E551" w14:textId="319A1EF7" w:rsidR="00FB672C" w:rsidRPr="006A66CD" w:rsidRDefault="00414B17" w:rsidP="00FF5F4A">
      <w:pPr>
        <w:spacing w:after="0" w:line="360" w:lineRule="auto"/>
        <w:ind w:left="708"/>
        <w:jc w:val="both"/>
        <w:rPr>
          <w:rFonts w:cs="Arial"/>
          <w:sz w:val="22"/>
        </w:rPr>
      </w:pPr>
      <w:r w:rsidRPr="006A66CD">
        <w:rPr>
          <w:rFonts w:cs="Arial"/>
          <w:sz w:val="22"/>
        </w:rPr>
        <w:t xml:space="preserve">(iii) </w:t>
      </w:r>
      <w:r w:rsidR="00FB672C" w:rsidRPr="006A66CD">
        <w:rPr>
          <w:rFonts w:cs="Arial"/>
          <w:sz w:val="22"/>
        </w:rPr>
        <w:t xml:space="preserve">preservar o patrimônio e reputação da </w:t>
      </w:r>
      <w:r w:rsidR="00C33B31">
        <w:rPr>
          <w:rFonts w:cs="Arial"/>
          <w:sz w:val="22"/>
        </w:rPr>
        <w:t>REAG Securities</w:t>
      </w:r>
      <w:r w:rsidR="00FB672C" w:rsidRPr="006A66CD">
        <w:rPr>
          <w:rFonts w:cs="Arial"/>
          <w:sz w:val="22"/>
        </w:rPr>
        <w:t xml:space="preserve">, agindo com responsabilidade e discrição sobre os negócios da </w:t>
      </w:r>
      <w:r w:rsidR="00C33B31">
        <w:rPr>
          <w:rFonts w:cs="Arial"/>
          <w:sz w:val="22"/>
        </w:rPr>
        <w:t>REAG Securities</w:t>
      </w:r>
      <w:r w:rsidR="00C33B31" w:rsidRPr="006A66CD" w:rsidDel="00C33B31">
        <w:rPr>
          <w:rFonts w:cs="Arial"/>
          <w:sz w:val="22"/>
        </w:rPr>
        <w:t xml:space="preserve"> </w:t>
      </w:r>
      <w:r w:rsidR="00FB672C" w:rsidRPr="006A66CD">
        <w:rPr>
          <w:rFonts w:cs="Arial"/>
          <w:sz w:val="22"/>
        </w:rPr>
        <w:t>e seus clientes;</w:t>
      </w:r>
    </w:p>
    <w:p w14:paraId="7F5AC6BE" w14:textId="6F874B12" w:rsidR="00FB672C" w:rsidRPr="006A66CD" w:rsidRDefault="00414B17" w:rsidP="00FF5F4A">
      <w:pPr>
        <w:spacing w:after="0" w:line="360" w:lineRule="auto"/>
        <w:ind w:left="708"/>
        <w:jc w:val="both"/>
        <w:rPr>
          <w:rFonts w:cs="Arial"/>
          <w:sz w:val="22"/>
        </w:rPr>
      </w:pPr>
      <w:r w:rsidRPr="006A66CD">
        <w:rPr>
          <w:rFonts w:cs="Arial"/>
          <w:sz w:val="22"/>
        </w:rPr>
        <w:lastRenderedPageBreak/>
        <w:t xml:space="preserve">(iv) </w:t>
      </w:r>
      <w:r w:rsidR="00FB672C" w:rsidRPr="006A66CD">
        <w:rPr>
          <w:rFonts w:cs="Arial"/>
          <w:sz w:val="22"/>
        </w:rPr>
        <w:t xml:space="preserve">sempre que diante de um potencial conflito de interesses, evitar que tal conflito </w:t>
      </w:r>
      <w:r w:rsidR="00AC38E2">
        <w:rPr>
          <w:rFonts w:cs="Arial"/>
          <w:sz w:val="22"/>
        </w:rPr>
        <w:t>s</w:t>
      </w:r>
      <w:r w:rsidR="00FB672C" w:rsidRPr="006A66CD">
        <w:rPr>
          <w:rFonts w:cs="Arial"/>
          <w:sz w:val="22"/>
        </w:rPr>
        <w:t>e materialize; e</w:t>
      </w:r>
    </w:p>
    <w:p w14:paraId="58876A85" w14:textId="760C9AF3" w:rsidR="00FB672C" w:rsidRPr="006A66CD" w:rsidRDefault="00414B17" w:rsidP="00FF5F4A">
      <w:pPr>
        <w:spacing w:after="0" w:line="360" w:lineRule="auto"/>
        <w:ind w:left="708"/>
        <w:jc w:val="both"/>
        <w:rPr>
          <w:rFonts w:cs="Arial"/>
          <w:sz w:val="22"/>
        </w:rPr>
      </w:pPr>
      <w:r w:rsidRPr="006A66CD">
        <w:rPr>
          <w:rFonts w:cs="Arial"/>
          <w:sz w:val="22"/>
        </w:rPr>
        <w:t xml:space="preserve">(v) </w:t>
      </w:r>
      <w:r w:rsidR="00FB672C" w:rsidRPr="006A66CD">
        <w:rPr>
          <w:rFonts w:cs="Arial"/>
          <w:sz w:val="22"/>
        </w:rPr>
        <w:t xml:space="preserve">evitar qualquer forma de discriminação ou constrangimento aos </w:t>
      </w:r>
      <w:proofErr w:type="gramStart"/>
      <w:r w:rsidR="00FB672C" w:rsidRPr="006A66CD">
        <w:rPr>
          <w:rFonts w:cs="Arial"/>
          <w:sz w:val="22"/>
        </w:rPr>
        <w:t>demais</w:t>
      </w:r>
      <w:r w:rsidR="00504228">
        <w:rPr>
          <w:rFonts w:cs="Arial"/>
          <w:sz w:val="22"/>
        </w:rPr>
        <w:t xml:space="preserve"> </w:t>
      </w:r>
      <w:r w:rsidR="00FB672C" w:rsidRPr="006A66CD">
        <w:rPr>
          <w:rFonts w:cs="Arial"/>
          <w:sz w:val="22"/>
        </w:rPr>
        <w:t>Colaboradores</w:t>
      </w:r>
      <w:proofErr w:type="gramEnd"/>
      <w:r w:rsidR="00FB672C" w:rsidRPr="006A66CD">
        <w:rPr>
          <w:rFonts w:cs="Arial"/>
          <w:sz w:val="22"/>
        </w:rPr>
        <w:t xml:space="preserve"> no ambiente de trabalho. </w:t>
      </w:r>
    </w:p>
    <w:p w14:paraId="5E0E6820" w14:textId="77777777" w:rsidR="00FB672C" w:rsidRPr="006A66CD" w:rsidRDefault="00FB672C" w:rsidP="006A66CD">
      <w:pPr>
        <w:spacing w:after="0" w:line="360" w:lineRule="auto"/>
        <w:jc w:val="both"/>
        <w:rPr>
          <w:rFonts w:cs="Arial"/>
          <w:sz w:val="22"/>
        </w:rPr>
      </w:pPr>
    </w:p>
    <w:p w14:paraId="5FAA1B82" w14:textId="77777777" w:rsidR="00E87434" w:rsidRPr="002924C8" w:rsidRDefault="00FB672C" w:rsidP="006A66CD">
      <w:pPr>
        <w:pStyle w:val="PargrafodaLista"/>
        <w:numPr>
          <w:ilvl w:val="0"/>
          <w:numId w:val="5"/>
        </w:numPr>
        <w:spacing w:after="0" w:line="360" w:lineRule="auto"/>
        <w:ind w:left="0" w:firstLine="0"/>
        <w:jc w:val="both"/>
        <w:rPr>
          <w:rFonts w:cs="Arial"/>
          <w:b/>
          <w:bCs/>
          <w:sz w:val="22"/>
        </w:rPr>
      </w:pPr>
      <w:bookmarkStart w:id="1" w:name="_Toc450140974"/>
      <w:r w:rsidRPr="002924C8">
        <w:rPr>
          <w:rFonts w:cs="Arial"/>
          <w:b/>
          <w:bCs/>
          <w:sz w:val="22"/>
        </w:rPr>
        <w:t xml:space="preserve">Padrões de Conduta </w:t>
      </w:r>
    </w:p>
    <w:p w14:paraId="61A100D0" w14:textId="77777777" w:rsidR="00DA4FD3" w:rsidRPr="006A66CD" w:rsidRDefault="00DA4FD3" w:rsidP="006A66CD">
      <w:pPr>
        <w:pStyle w:val="PargrafodaLista"/>
        <w:spacing w:after="0" w:line="360" w:lineRule="auto"/>
        <w:ind w:left="0"/>
        <w:jc w:val="both"/>
        <w:rPr>
          <w:rFonts w:cs="Arial"/>
          <w:sz w:val="22"/>
        </w:rPr>
      </w:pPr>
    </w:p>
    <w:p w14:paraId="32D600AD" w14:textId="1CF48588" w:rsidR="00885F72" w:rsidRPr="002924C8" w:rsidRDefault="00E87434" w:rsidP="006A66CD">
      <w:pPr>
        <w:pStyle w:val="PargrafodaLista"/>
        <w:numPr>
          <w:ilvl w:val="1"/>
          <w:numId w:val="5"/>
        </w:numPr>
        <w:spacing w:after="0" w:line="360" w:lineRule="auto"/>
        <w:ind w:left="0" w:firstLine="0"/>
        <w:jc w:val="both"/>
        <w:rPr>
          <w:rFonts w:cs="Arial"/>
          <w:b/>
          <w:bCs/>
          <w:sz w:val="22"/>
        </w:rPr>
      </w:pPr>
      <w:r w:rsidRPr="002924C8">
        <w:rPr>
          <w:rFonts w:cs="Arial"/>
          <w:b/>
          <w:bCs/>
          <w:sz w:val="22"/>
        </w:rPr>
        <w:t xml:space="preserve">Padrões de Conduta </w:t>
      </w:r>
      <w:r w:rsidR="00FB672C" w:rsidRPr="002924C8">
        <w:rPr>
          <w:rFonts w:cs="Arial"/>
          <w:b/>
          <w:bCs/>
          <w:sz w:val="22"/>
        </w:rPr>
        <w:t>em Relação ao Mercado</w:t>
      </w:r>
      <w:bookmarkEnd w:id="1"/>
    </w:p>
    <w:p w14:paraId="136DB18B" w14:textId="77777777" w:rsidR="002924C8" w:rsidRDefault="002924C8" w:rsidP="006A66CD">
      <w:pPr>
        <w:spacing w:after="0" w:line="360" w:lineRule="auto"/>
        <w:jc w:val="both"/>
        <w:rPr>
          <w:rFonts w:cs="Arial"/>
          <w:sz w:val="22"/>
        </w:rPr>
      </w:pPr>
    </w:p>
    <w:p w14:paraId="7C993F7C" w14:textId="7F7700FC" w:rsidR="00FB672C" w:rsidRPr="006A66CD" w:rsidRDefault="00FB672C" w:rsidP="006A66CD">
      <w:pPr>
        <w:spacing w:after="0" w:line="360" w:lineRule="auto"/>
        <w:jc w:val="both"/>
        <w:rPr>
          <w:rFonts w:cs="Arial"/>
          <w:sz w:val="22"/>
        </w:rPr>
      </w:pPr>
      <w:r w:rsidRPr="006A66CD">
        <w:rPr>
          <w:rFonts w:cs="Arial"/>
          <w:sz w:val="22"/>
        </w:rPr>
        <w:t>No exercício de suas funções, os Colaboradores deverão:</w:t>
      </w:r>
    </w:p>
    <w:p w14:paraId="1E0486B1" w14:textId="6675C96B" w:rsidR="00FB672C" w:rsidRPr="006A66CD" w:rsidRDefault="00021B07" w:rsidP="006A66CD">
      <w:pPr>
        <w:spacing w:after="0" w:line="360" w:lineRule="auto"/>
        <w:ind w:left="708"/>
        <w:jc w:val="both"/>
        <w:rPr>
          <w:rFonts w:cs="Arial"/>
          <w:sz w:val="22"/>
        </w:rPr>
      </w:pPr>
      <w:r w:rsidRPr="006A66CD">
        <w:rPr>
          <w:rFonts w:cs="Arial"/>
          <w:sz w:val="22"/>
        </w:rPr>
        <w:t xml:space="preserve">(i) </w:t>
      </w:r>
      <w:r w:rsidR="00FB672C" w:rsidRPr="006A66CD">
        <w:rPr>
          <w:rFonts w:cs="Arial"/>
          <w:sz w:val="22"/>
        </w:rPr>
        <w:t>preservar elevados padrões éticos de conduta nas negociações realizadas no mercado financeiro e de capitais;</w:t>
      </w:r>
    </w:p>
    <w:p w14:paraId="2CC335D2" w14:textId="1746E7FF" w:rsidR="00FB672C" w:rsidRPr="006A66CD" w:rsidRDefault="00021B07" w:rsidP="006A66CD">
      <w:pPr>
        <w:spacing w:after="0" w:line="360" w:lineRule="auto"/>
        <w:ind w:left="708"/>
        <w:jc w:val="both"/>
        <w:rPr>
          <w:rFonts w:cs="Arial"/>
          <w:sz w:val="22"/>
        </w:rPr>
      </w:pPr>
      <w:r w:rsidRPr="006A66CD">
        <w:rPr>
          <w:rFonts w:cs="Arial"/>
          <w:sz w:val="22"/>
        </w:rPr>
        <w:t xml:space="preserve">(ii) </w:t>
      </w:r>
      <w:r w:rsidR="00FB672C" w:rsidRPr="006A66CD">
        <w:rPr>
          <w:rFonts w:cs="Arial"/>
          <w:sz w:val="22"/>
        </w:rPr>
        <w:t xml:space="preserve">manter o sigilo sobre as operações da </w:t>
      </w:r>
      <w:bookmarkStart w:id="2" w:name="_Hlk176876438"/>
      <w:r w:rsidR="00C33B31">
        <w:rPr>
          <w:rFonts w:cs="Arial"/>
          <w:sz w:val="22"/>
        </w:rPr>
        <w:t>REAG Securities</w:t>
      </w:r>
      <w:bookmarkEnd w:id="2"/>
      <w:r w:rsidR="00FB672C" w:rsidRPr="006A66CD">
        <w:rPr>
          <w:rFonts w:cs="Arial"/>
          <w:sz w:val="22"/>
        </w:rPr>
        <w:t>;</w:t>
      </w:r>
    </w:p>
    <w:p w14:paraId="5AE89FBD" w14:textId="5D432CF8" w:rsidR="00FB672C" w:rsidRPr="006A66CD" w:rsidRDefault="00021B07" w:rsidP="006A66CD">
      <w:pPr>
        <w:spacing w:after="0" w:line="360" w:lineRule="auto"/>
        <w:ind w:left="708"/>
        <w:jc w:val="both"/>
        <w:rPr>
          <w:rFonts w:cs="Arial"/>
          <w:sz w:val="22"/>
        </w:rPr>
      </w:pPr>
      <w:r w:rsidRPr="006A66CD">
        <w:rPr>
          <w:rFonts w:cs="Arial"/>
          <w:sz w:val="22"/>
        </w:rPr>
        <w:t xml:space="preserve">(iii) </w:t>
      </w:r>
      <w:r w:rsidR="00FB672C" w:rsidRPr="006A66CD">
        <w:rPr>
          <w:rFonts w:cs="Arial"/>
          <w:sz w:val="22"/>
        </w:rPr>
        <w:t>abster-se de fazer o uso de informações obtidas em benefício próprio ou de terceiros;</w:t>
      </w:r>
    </w:p>
    <w:p w14:paraId="5781D231" w14:textId="319341F1" w:rsidR="00FB672C" w:rsidRPr="006A66CD" w:rsidRDefault="00021B07" w:rsidP="006A66CD">
      <w:pPr>
        <w:spacing w:after="0" w:line="360" w:lineRule="auto"/>
        <w:ind w:left="708"/>
        <w:jc w:val="both"/>
        <w:rPr>
          <w:rFonts w:cs="Arial"/>
          <w:sz w:val="22"/>
        </w:rPr>
      </w:pPr>
      <w:r w:rsidRPr="006A66CD">
        <w:rPr>
          <w:rFonts w:cs="Arial"/>
          <w:sz w:val="22"/>
        </w:rPr>
        <w:t xml:space="preserve">(iv) </w:t>
      </w:r>
      <w:r w:rsidR="00FB672C" w:rsidRPr="006A66CD">
        <w:rPr>
          <w:rFonts w:cs="Arial"/>
          <w:sz w:val="22"/>
        </w:rPr>
        <w:t>recusar quaisquer vantagens que lhe</w:t>
      </w:r>
      <w:r w:rsidR="0023153B">
        <w:rPr>
          <w:rFonts w:cs="Arial"/>
          <w:sz w:val="22"/>
        </w:rPr>
        <w:t>s</w:t>
      </w:r>
      <w:r w:rsidR="00FB672C" w:rsidRPr="006A66CD">
        <w:rPr>
          <w:rFonts w:cs="Arial"/>
          <w:sz w:val="22"/>
        </w:rPr>
        <w:t xml:space="preserve"> forem oferecidas com o objetivo de influenciar sua</w:t>
      </w:r>
      <w:r w:rsidR="0023153B">
        <w:rPr>
          <w:rFonts w:cs="Arial"/>
          <w:sz w:val="22"/>
        </w:rPr>
        <w:t>s</w:t>
      </w:r>
      <w:r w:rsidR="00FB672C" w:rsidRPr="006A66CD">
        <w:rPr>
          <w:rFonts w:cs="Arial"/>
          <w:sz w:val="22"/>
        </w:rPr>
        <w:t xml:space="preserve"> d</w:t>
      </w:r>
      <w:r w:rsidR="00F4760C" w:rsidRPr="006A66CD">
        <w:rPr>
          <w:rFonts w:cs="Arial"/>
          <w:sz w:val="22"/>
        </w:rPr>
        <w:t>ecis</w:t>
      </w:r>
      <w:r w:rsidR="0023153B">
        <w:rPr>
          <w:rFonts w:cs="Arial"/>
          <w:sz w:val="22"/>
        </w:rPr>
        <w:t>ões</w:t>
      </w:r>
      <w:r w:rsidR="00F4760C" w:rsidRPr="006A66CD">
        <w:rPr>
          <w:rFonts w:cs="Arial"/>
          <w:sz w:val="22"/>
        </w:rPr>
        <w:t xml:space="preserve"> e atuação profissional;</w:t>
      </w:r>
    </w:p>
    <w:p w14:paraId="43DC1AEA" w14:textId="4604314F" w:rsidR="002F6B68" w:rsidRPr="006A66CD" w:rsidRDefault="002F6B68" w:rsidP="006A66CD">
      <w:pPr>
        <w:spacing w:after="0" w:line="360" w:lineRule="auto"/>
        <w:ind w:left="708"/>
        <w:jc w:val="both"/>
        <w:rPr>
          <w:rFonts w:cs="Arial"/>
          <w:sz w:val="22"/>
        </w:rPr>
      </w:pPr>
      <w:r w:rsidRPr="006A66CD">
        <w:rPr>
          <w:rFonts w:cs="Arial"/>
          <w:sz w:val="22"/>
        </w:rPr>
        <w:t xml:space="preserve">(v) </w:t>
      </w:r>
      <w:r w:rsidR="00246F58" w:rsidRPr="006A66CD">
        <w:rPr>
          <w:rFonts w:cs="Arial"/>
          <w:sz w:val="22"/>
        </w:rPr>
        <w:t>zelar pela existência e integridade dos ativos e instrumentos que compõem o patrimônio separado, inclusive quando custodiados, depositados ou registrados em terceiros;</w:t>
      </w:r>
    </w:p>
    <w:p w14:paraId="5AC7B515" w14:textId="61141A57" w:rsidR="002F6B68" w:rsidRPr="006A66CD" w:rsidRDefault="002F6B68" w:rsidP="006A66CD">
      <w:pPr>
        <w:spacing w:after="0" w:line="360" w:lineRule="auto"/>
        <w:ind w:left="708"/>
        <w:jc w:val="both"/>
        <w:rPr>
          <w:rFonts w:cs="Arial"/>
          <w:sz w:val="22"/>
        </w:rPr>
      </w:pPr>
      <w:r w:rsidRPr="006A66CD">
        <w:rPr>
          <w:rFonts w:cs="Arial"/>
          <w:sz w:val="22"/>
        </w:rPr>
        <w:t>(vi) quando da aquisição dos direitos creditórios que servirão de lastro à operação de securitização, verificar se o montante atribuído a algum devedor representa parcela igual ou superior a 20% (vinte por cento) do valor total do lastro e, caso positivo, diligenciar para aferir sua situação fiscal</w:t>
      </w:r>
      <w:r w:rsidR="00246F58" w:rsidRPr="006A66CD">
        <w:rPr>
          <w:rFonts w:cs="Arial"/>
          <w:sz w:val="22"/>
        </w:rPr>
        <w:t>;</w:t>
      </w:r>
    </w:p>
    <w:p w14:paraId="25A97535" w14:textId="22576CAE" w:rsidR="007145DF" w:rsidRPr="006A66CD" w:rsidRDefault="007145DF" w:rsidP="006A66CD">
      <w:pPr>
        <w:spacing w:after="0" w:line="360" w:lineRule="auto"/>
        <w:ind w:left="708"/>
        <w:jc w:val="both"/>
        <w:rPr>
          <w:rFonts w:cs="Arial"/>
          <w:sz w:val="22"/>
          <w:highlight w:val="yellow"/>
        </w:rPr>
      </w:pPr>
      <w:r w:rsidRPr="006A66CD">
        <w:rPr>
          <w:rFonts w:cs="Arial"/>
          <w:sz w:val="22"/>
        </w:rPr>
        <w:t>(vii)</w:t>
      </w:r>
      <w:r w:rsidR="00EE073B" w:rsidRPr="006A66CD">
        <w:rPr>
          <w:rFonts w:cs="Arial"/>
          <w:sz w:val="22"/>
        </w:rPr>
        <w:t xml:space="preserve"> </w:t>
      </w:r>
      <w:r w:rsidR="002F65F1">
        <w:rPr>
          <w:rFonts w:cs="Arial"/>
          <w:sz w:val="22"/>
        </w:rPr>
        <w:t xml:space="preserve">informar </w:t>
      </w:r>
      <w:r w:rsidR="002F65F1" w:rsidRPr="006A66CD">
        <w:rPr>
          <w:rFonts w:cs="Arial"/>
          <w:sz w:val="22"/>
        </w:rPr>
        <w:t>ao Diretor de Compliance</w:t>
      </w:r>
      <w:r w:rsidR="002F65F1">
        <w:rPr>
          <w:rFonts w:cs="Arial"/>
          <w:sz w:val="22"/>
        </w:rPr>
        <w:t xml:space="preserve"> </w:t>
      </w:r>
      <w:r w:rsidR="007B51EF" w:rsidRPr="006A66CD">
        <w:rPr>
          <w:rFonts w:cs="Arial"/>
          <w:sz w:val="22"/>
        </w:rPr>
        <w:t xml:space="preserve">a intenção de negociação </w:t>
      </w:r>
      <w:r w:rsidR="00EE073B" w:rsidRPr="006A66CD">
        <w:rPr>
          <w:rFonts w:cs="Arial"/>
          <w:sz w:val="22"/>
        </w:rPr>
        <w:t xml:space="preserve">de títulos de securitização admitidos à negociação em mercados organizados </w:t>
      </w:r>
      <w:r w:rsidR="007B51EF" w:rsidRPr="006A66CD">
        <w:rPr>
          <w:rFonts w:cs="Arial"/>
          <w:sz w:val="22"/>
        </w:rPr>
        <w:t>por</w:t>
      </w:r>
      <w:r w:rsidR="00EE073B" w:rsidRPr="006A66CD">
        <w:rPr>
          <w:rFonts w:cs="Arial"/>
          <w:sz w:val="22"/>
        </w:rPr>
        <w:t xml:space="preserve"> Colaboradores </w:t>
      </w:r>
      <w:r w:rsidR="007B51EF" w:rsidRPr="006A66CD">
        <w:rPr>
          <w:rFonts w:cs="Arial"/>
          <w:sz w:val="22"/>
        </w:rPr>
        <w:t xml:space="preserve">e </w:t>
      </w:r>
      <w:r w:rsidR="00EE073B" w:rsidRPr="006A66CD">
        <w:rPr>
          <w:rFonts w:cs="Arial"/>
          <w:sz w:val="22"/>
        </w:rPr>
        <w:t xml:space="preserve">pela própria </w:t>
      </w:r>
      <w:r w:rsidR="00612028" w:rsidRPr="006A66CD">
        <w:rPr>
          <w:rFonts w:cs="Arial"/>
          <w:sz w:val="22"/>
        </w:rPr>
        <w:t>C</w:t>
      </w:r>
      <w:r w:rsidR="00EE073B" w:rsidRPr="006A66CD">
        <w:rPr>
          <w:rFonts w:cs="Arial"/>
          <w:sz w:val="22"/>
        </w:rPr>
        <w:t>ompanhia</w:t>
      </w:r>
      <w:r w:rsidR="007B51EF" w:rsidRPr="006A66CD">
        <w:rPr>
          <w:rFonts w:cs="Arial"/>
          <w:sz w:val="22"/>
        </w:rPr>
        <w:t>, sendo que tal negociação apenas poderá ser consumada com a aprovação do Diretor de Compliance</w:t>
      </w:r>
      <w:r w:rsidR="0059042E">
        <w:rPr>
          <w:rFonts w:cs="Arial"/>
          <w:sz w:val="22"/>
        </w:rPr>
        <w:t xml:space="preserve"> e deverão ser observadas as disposições da Política de Negociação de Partes Vinculadas</w:t>
      </w:r>
      <w:r w:rsidR="007B51EF" w:rsidRPr="006A66CD">
        <w:rPr>
          <w:rFonts w:cs="Arial"/>
          <w:sz w:val="22"/>
        </w:rPr>
        <w:t>;</w:t>
      </w:r>
    </w:p>
    <w:p w14:paraId="2F25CCCF" w14:textId="192AC2F1" w:rsidR="00FB672C" w:rsidRPr="006A66CD" w:rsidRDefault="00021B07" w:rsidP="006A66CD">
      <w:pPr>
        <w:spacing w:after="0" w:line="360" w:lineRule="auto"/>
        <w:ind w:left="708"/>
        <w:jc w:val="both"/>
        <w:rPr>
          <w:rFonts w:cs="Arial"/>
          <w:sz w:val="22"/>
        </w:rPr>
      </w:pPr>
      <w:r w:rsidRPr="006A66CD">
        <w:rPr>
          <w:rFonts w:cs="Arial"/>
          <w:sz w:val="22"/>
        </w:rPr>
        <w:t>(</w:t>
      </w:r>
      <w:proofErr w:type="spellStart"/>
      <w:r w:rsidRPr="006A66CD">
        <w:rPr>
          <w:rFonts w:cs="Arial"/>
          <w:sz w:val="22"/>
        </w:rPr>
        <w:t>v</w:t>
      </w:r>
      <w:r w:rsidR="002F6B68" w:rsidRPr="006A66CD">
        <w:rPr>
          <w:rFonts w:cs="Arial"/>
          <w:sz w:val="22"/>
        </w:rPr>
        <w:t>ii</w:t>
      </w:r>
      <w:r w:rsidR="00EE073B" w:rsidRPr="006A66CD">
        <w:rPr>
          <w:rFonts w:cs="Arial"/>
          <w:sz w:val="22"/>
        </w:rPr>
        <w:t>i</w:t>
      </w:r>
      <w:proofErr w:type="spellEnd"/>
      <w:r w:rsidRPr="006A66CD">
        <w:rPr>
          <w:rFonts w:cs="Arial"/>
          <w:sz w:val="22"/>
        </w:rPr>
        <w:t xml:space="preserve">) </w:t>
      </w:r>
      <w:r w:rsidR="00FB672C" w:rsidRPr="006A66CD">
        <w:rPr>
          <w:rFonts w:cs="Arial"/>
          <w:sz w:val="22"/>
        </w:rPr>
        <w:t>evitar quaisquer procedimentos que possam vir a configurar criação de condições artificiais de mercado, manipulação de preços, operações fraudulentas e uso de prática não equitativa em operações no mercado financeiro e</w:t>
      </w:r>
      <w:r w:rsidR="00F4760C" w:rsidRPr="006A66CD">
        <w:rPr>
          <w:rFonts w:cs="Arial"/>
          <w:sz w:val="22"/>
        </w:rPr>
        <w:t xml:space="preserve"> de capitais; e</w:t>
      </w:r>
    </w:p>
    <w:p w14:paraId="18EC53A6" w14:textId="3B41B199" w:rsidR="00F4760C" w:rsidRPr="006A66CD" w:rsidRDefault="00021B07" w:rsidP="006A66CD">
      <w:pPr>
        <w:spacing w:after="0" w:line="360" w:lineRule="auto"/>
        <w:ind w:left="708"/>
        <w:jc w:val="both"/>
        <w:rPr>
          <w:rFonts w:cs="Arial"/>
          <w:sz w:val="22"/>
        </w:rPr>
      </w:pPr>
      <w:r w:rsidRPr="006A66CD">
        <w:rPr>
          <w:rFonts w:cs="Arial"/>
          <w:sz w:val="22"/>
        </w:rPr>
        <w:t>(</w:t>
      </w:r>
      <w:proofErr w:type="spellStart"/>
      <w:r w:rsidR="00EE073B" w:rsidRPr="006A66CD">
        <w:rPr>
          <w:rFonts w:cs="Arial"/>
          <w:sz w:val="22"/>
        </w:rPr>
        <w:t>ix</w:t>
      </w:r>
      <w:proofErr w:type="spellEnd"/>
      <w:r w:rsidR="00797770" w:rsidRPr="006A66CD">
        <w:rPr>
          <w:rFonts w:cs="Arial"/>
          <w:sz w:val="22"/>
        </w:rPr>
        <w:t xml:space="preserve">) </w:t>
      </w:r>
      <w:r w:rsidR="00F4760C" w:rsidRPr="006A66CD">
        <w:rPr>
          <w:rFonts w:cs="Arial"/>
          <w:sz w:val="22"/>
        </w:rPr>
        <w:t xml:space="preserve">comunicar </w:t>
      </w:r>
      <w:r w:rsidR="00797770" w:rsidRPr="006A66CD">
        <w:rPr>
          <w:rFonts w:cs="Arial"/>
          <w:sz w:val="22"/>
        </w:rPr>
        <w:t>ao</w:t>
      </w:r>
      <w:r w:rsidR="00F4760C" w:rsidRPr="006A66CD">
        <w:rPr>
          <w:rFonts w:cs="Arial"/>
          <w:sz w:val="22"/>
        </w:rPr>
        <w:t xml:space="preserve"> Diretor de Compliance, que terá o dever de informar à CVM, toda ocorrência ou indícios de violação da legislação que incumbe à CVM fiscalizar, no prazo máximo de 10 (dez) dias da ocorrência da ou identificação do indício. </w:t>
      </w:r>
    </w:p>
    <w:p w14:paraId="3D51D322" w14:textId="77777777" w:rsidR="00463390" w:rsidRPr="006A66CD" w:rsidRDefault="00463390" w:rsidP="006A66CD">
      <w:pPr>
        <w:spacing w:after="0" w:line="360" w:lineRule="auto"/>
        <w:jc w:val="both"/>
        <w:rPr>
          <w:rFonts w:cs="Arial"/>
          <w:sz w:val="22"/>
        </w:rPr>
      </w:pPr>
    </w:p>
    <w:p w14:paraId="0401E737" w14:textId="77777777" w:rsidR="00885F72" w:rsidRPr="00BA6F80" w:rsidRDefault="00FB672C" w:rsidP="00BA6F80">
      <w:pPr>
        <w:pStyle w:val="PargrafodaLista"/>
        <w:keepNext/>
        <w:keepLines/>
        <w:numPr>
          <w:ilvl w:val="1"/>
          <w:numId w:val="5"/>
        </w:numPr>
        <w:spacing w:after="0" w:line="360" w:lineRule="auto"/>
        <w:ind w:left="0" w:firstLine="0"/>
        <w:jc w:val="both"/>
        <w:rPr>
          <w:rFonts w:cs="Arial"/>
          <w:b/>
          <w:bCs/>
          <w:sz w:val="22"/>
        </w:rPr>
      </w:pPr>
      <w:bookmarkStart w:id="3" w:name="_Toc450140975"/>
      <w:r w:rsidRPr="00BA6F80">
        <w:rPr>
          <w:rFonts w:cs="Arial"/>
          <w:b/>
          <w:bCs/>
          <w:sz w:val="22"/>
        </w:rPr>
        <w:lastRenderedPageBreak/>
        <w:t>Padrões de Conduta em Relação aos Clientes</w:t>
      </w:r>
      <w:bookmarkEnd w:id="3"/>
    </w:p>
    <w:p w14:paraId="6AE838E4" w14:textId="77777777" w:rsidR="00BA6F80" w:rsidRPr="006A66CD" w:rsidRDefault="00BA6F80" w:rsidP="00BA6F80">
      <w:pPr>
        <w:pStyle w:val="PargrafodaLista"/>
        <w:keepNext/>
        <w:keepLines/>
        <w:spacing w:after="0" w:line="360" w:lineRule="auto"/>
        <w:ind w:left="0"/>
        <w:jc w:val="both"/>
        <w:rPr>
          <w:rFonts w:cs="Arial"/>
          <w:sz w:val="22"/>
        </w:rPr>
      </w:pPr>
    </w:p>
    <w:p w14:paraId="7965AEE6" w14:textId="33D615DE" w:rsidR="00FB672C" w:rsidRPr="006A66CD" w:rsidRDefault="00FB672C" w:rsidP="00BA6F80">
      <w:pPr>
        <w:keepNext/>
        <w:keepLines/>
        <w:spacing w:after="0" w:line="360" w:lineRule="auto"/>
        <w:jc w:val="both"/>
        <w:rPr>
          <w:rFonts w:cs="Arial"/>
          <w:sz w:val="22"/>
        </w:rPr>
      </w:pPr>
      <w:r w:rsidRPr="006A66CD">
        <w:rPr>
          <w:rFonts w:cs="Arial"/>
          <w:sz w:val="22"/>
        </w:rPr>
        <w:t>Os Colaboradores deverão, ainda:</w:t>
      </w:r>
    </w:p>
    <w:p w14:paraId="4CF3B0C1" w14:textId="5090A7CE" w:rsidR="00FB672C" w:rsidRPr="006A66CD" w:rsidRDefault="00DA4FD3" w:rsidP="00BA6F80">
      <w:pPr>
        <w:keepNext/>
        <w:keepLines/>
        <w:spacing w:after="0" w:line="360" w:lineRule="auto"/>
        <w:ind w:left="708"/>
        <w:jc w:val="both"/>
        <w:rPr>
          <w:rFonts w:cs="Arial"/>
          <w:sz w:val="22"/>
        </w:rPr>
      </w:pPr>
      <w:r w:rsidRPr="006A66CD">
        <w:rPr>
          <w:rFonts w:cs="Arial"/>
          <w:sz w:val="22"/>
        </w:rPr>
        <w:t xml:space="preserve">(i) </w:t>
      </w:r>
      <w:r w:rsidR="00FB672C" w:rsidRPr="006A66CD">
        <w:rPr>
          <w:rFonts w:cs="Arial"/>
          <w:sz w:val="22"/>
        </w:rPr>
        <w:t xml:space="preserve">desempenhar suas atribuições com lealdade aos clientes, zelando pelos seus interesses e pela preservação dos bens e valores confiados à administração da </w:t>
      </w:r>
      <w:r w:rsidR="00B662A1">
        <w:rPr>
          <w:rFonts w:cs="Arial"/>
          <w:sz w:val="22"/>
        </w:rPr>
        <w:t>REAG Securities</w:t>
      </w:r>
      <w:r w:rsidR="00FB672C" w:rsidRPr="006A66CD">
        <w:rPr>
          <w:rFonts w:cs="Arial"/>
          <w:sz w:val="22"/>
        </w:rPr>
        <w:t>, em estrita conformidade com o contrato firmado entre os clientes e a sociedade;</w:t>
      </w:r>
    </w:p>
    <w:p w14:paraId="0B0C7574" w14:textId="164AC74E" w:rsidR="00425015" w:rsidRPr="006A66CD" w:rsidRDefault="00801D1A" w:rsidP="00BA6F80">
      <w:pPr>
        <w:spacing w:after="0" w:line="360" w:lineRule="auto"/>
        <w:ind w:left="708"/>
        <w:jc w:val="both"/>
        <w:rPr>
          <w:rFonts w:cs="Arial"/>
          <w:sz w:val="22"/>
        </w:rPr>
      </w:pPr>
      <w:r w:rsidRPr="006A66CD">
        <w:rPr>
          <w:rFonts w:cs="Arial"/>
          <w:sz w:val="22"/>
        </w:rPr>
        <w:t>(ii)</w:t>
      </w:r>
      <w:r w:rsidR="00BA6F80">
        <w:rPr>
          <w:rFonts w:cs="Arial"/>
          <w:sz w:val="22"/>
        </w:rPr>
        <w:t xml:space="preserve"> </w:t>
      </w:r>
      <w:r w:rsidR="00425015" w:rsidRPr="006A66CD">
        <w:rPr>
          <w:rFonts w:cs="Arial"/>
          <w:sz w:val="22"/>
        </w:rPr>
        <w:t>cooperar com o agente fiduciário e fornecer os documentos e informações por ele solicitados para fins de cumprimento de seus deveres e atribuições, conforme regulamentação específica e consoante os termos do instrumento de emissão;</w:t>
      </w:r>
    </w:p>
    <w:p w14:paraId="6DEC5044" w14:textId="1D56BD99" w:rsidR="00FB672C" w:rsidRPr="006A66CD" w:rsidRDefault="00972D70" w:rsidP="006A66CD">
      <w:pPr>
        <w:spacing w:after="0" w:line="360" w:lineRule="auto"/>
        <w:ind w:left="708"/>
        <w:jc w:val="both"/>
        <w:rPr>
          <w:rFonts w:cs="Arial"/>
          <w:sz w:val="22"/>
        </w:rPr>
      </w:pPr>
      <w:r w:rsidRPr="006A66CD">
        <w:rPr>
          <w:rFonts w:cs="Arial"/>
          <w:sz w:val="22"/>
        </w:rPr>
        <w:t>(</w:t>
      </w:r>
      <w:r w:rsidR="009E14F5" w:rsidRPr="006A66CD">
        <w:rPr>
          <w:rFonts w:cs="Arial"/>
          <w:sz w:val="22"/>
        </w:rPr>
        <w:t>i</w:t>
      </w:r>
      <w:r w:rsidR="00BA6F80">
        <w:rPr>
          <w:rFonts w:cs="Arial"/>
          <w:sz w:val="22"/>
        </w:rPr>
        <w:t>ii</w:t>
      </w:r>
      <w:r w:rsidRPr="006A66CD">
        <w:rPr>
          <w:rFonts w:cs="Arial"/>
          <w:sz w:val="22"/>
        </w:rPr>
        <w:t xml:space="preserve">) </w:t>
      </w:r>
      <w:r w:rsidR="00FB672C" w:rsidRPr="006A66CD">
        <w:rPr>
          <w:rFonts w:cs="Arial"/>
          <w:sz w:val="22"/>
        </w:rPr>
        <w:t xml:space="preserve">manter atualizada, em perfeita ordem e à disposição dos clientes, toda a documentação relativa às </w:t>
      </w:r>
      <w:r w:rsidR="00C80E8C" w:rsidRPr="006A66CD">
        <w:rPr>
          <w:rFonts w:cs="Arial"/>
          <w:sz w:val="22"/>
        </w:rPr>
        <w:t>suas emissões</w:t>
      </w:r>
      <w:r w:rsidR="00FB672C" w:rsidRPr="006A66CD">
        <w:rPr>
          <w:rFonts w:cs="Arial"/>
          <w:sz w:val="22"/>
        </w:rPr>
        <w:t>;</w:t>
      </w:r>
    </w:p>
    <w:p w14:paraId="57966A34" w14:textId="23B44E2E" w:rsidR="000420E9" w:rsidRPr="006A66CD" w:rsidRDefault="00D20D6F" w:rsidP="006A66CD">
      <w:pPr>
        <w:spacing w:after="0" w:line="360" w:lineRule="auto"/>
        <w:ind w:left="708"/>
        <w:jc w:val="both"/>
        <w:rPr>
          <w:rFonts w:cs="Arial"/>
          <w:sz w:val="22"/>
        </w:rPr>
      </w:pPr>
      <w:r w:rsidRPr="006A66CD">
        <w:rPr>
          <w:rFonts w:cs="Arial"/>
          <w:sz w:val="22"/>
        </w:rPr>
        <w:t>(</w:t>
      </w:r>
      <w:r w:rsidR="00BA6F80">
        <w:rPr>
          <w:rFonts w:cs="Arial"/>
          <w:sz w:val="22"/>
        </w:rPr>
        <w:t>i</w:t>
      </w:r>
      <w:r w:rsidRPr="006A66CD">
        <w:rPr>
          <w:rFonts w:cs="Arial"/>
          <w:sz w:val="22"/>
        </w:rPr>
        <w:t xml:space="preserve">v) </w:t>
      </w:r>
      <w:r w:rsidR="008F6E70" w:rsidRPr="006A66CD">
        <w:rPr>
          <w:rFonts w:cs="Arial"/>
          <w:sz w:val="22"/>
        </w:rPr>
        <w:t>certificar que sejam mantidos em custódia</w:t>
      </w:r>
      <w:r w:rsidR="00531585" w:rsidRPr="006A66CD">
        <w:rPr>
          <w:rFonts w:cs="Arial"/>
          <w:sz w:val="22"/>
        </w:rPr>
        <w:t xml:space="preserve">, em entidade devidamente autorizada para tal serviço, os </w:t>
      </w:r>
      <w:r w:rsidR="00C80E8C" w:rsidRPr="006A66CD">
        <w:rPr>
          <w:rFonts w:cs="Arial"/>
          <w:sz w:val="22"/>
        </w:rPr>
        <w:t>ativos de sua emissão</w:t>
      </w:r>
      <w:r w:rsidR="00531585" w:rsidRPr="006A66CD">
        <w:rPr>
          <w:rFonts w:cs="Arial"/>
          <w:sz w:val="22"/>
        </w:rPr>
        <w:t>, tomando todas as providências necessárias e/ou úteis para a defesa dos interesses dos seus clientes;</w:t>
      </w:r>
    </w:p>
    <w:p w14:paraId="68F14A63" w14:textId="37E7C964" w:rsidR="00FB672C" w:rsidRPr="006A66CD" w:rsidRDefault="00D20D6F" w:rsidP="006A66CD">
      <w:pPr>
        <w:spacing w:after="0" w:line="360" w:lineRule="auto"/>
        <w:ind w:left="708"/>
        <w:jc w:val="both"/>
        <w:rPr>
          <w:rFonts w:cs="Arial"/>
          <w:sz w:val="22"/>
        </w:rPr>
      </w:pPr>
      <w:r w:rsidRPr="006A66CD">
        <w:rPr>
          <w:rFonts w:cs="Arial"/>
          <w:sz w:val="22"/>
        </w:rPr>
        <w:t>(vi</w:t>
      </w:r>
      <w:r w:rsidR="00425015" w:rsidRPr="006A66CD">
        <w:rPr>
          <w:rFonts w:cs="Arial"/>
          <w:sz w:val="22"/>
        </w:rPr>
        <w:t>i</w:t>
      </w:r>
      <w:r w:rsidRPr="006A66CD">
        <w:rPr>
          <w:rFonts w:cs="Arial"/>
          <w:sz w:val="22"/>
        </w:rPr>
        <w:t xml:space="preserve">) </w:t>
      </w:r>
      <w:r w:rsidR="00FB672C" w:rsidRPr="006A66CD">
        <w:rPr>
          <w:rFonts w:cs="Arial"/>
          <w:sz w:val="22"/>
        </w:rPr>
        <w:t>prestar as informações que lhes forem solicitadas pelos clientes</w:t>
      </w:r>
      <w:r w:rsidR="005917FB">
        <w:rPr>
          <w:rFonts w:cs="Arial"/>
          <w:sz w:val="22"/>
        </w:rPr>
        <w:t xml:space="preserve">, salvo </w:t>
      </w:r>
      <w:r w:rsidR="00C8682E">
        <w:rPr>
          <w:rFonts w:cs="Arial"/>
          <w:sz w:val="22"/>
        </w:rPr>
        <w:t xml:space="preserve">as </w:t>
      </w:r>
      <w:r w:rsidR="005917FB">
        <w:rPr>
          <w:rFonts w:cs="Arial"/>
          <w:sz w:val="22"/>
        </w:rPr>
        <w:t>informações confidencia</w:t>
      </w:r>
      <w:r w:rsidR="00C8682E">
        <w:rPr>
          <w:rFonts w:cs="Arial"/>
          <w:sz w:val="22"/>
        </w:rPr>
        <w:t>is ou que não possam ser compartilhadas por força de leis ou regulamentos vigentes</w:t>
      </w:r>
      <w:r w:rsidR="00FB672C" w:rsidRPr="006A66CD">
        <w:rPr>
          <w:rFonts w:cs="Arial"/>
          <w:sz w:val="22"/>
        </w:rPr>
        <w:t xml:space="preserve">. </w:t>
      </w:r>
    </w:p>
    <w:p w14:paraId="0BBFB6BF" w14:textId="77777777" w:rsidR="00FB672C" w:rsidRPr="006A66CD" w:rsidRDefault="00FB672C" w:rsidP="006A66CD">
      <w:pPr>
        <w:spacing w:after="0" w:line="360" w:lineRule="auto"/>
        <w:jc w:val="both"/>
        <w:rPr>
          <w:rFonts w:cs="Arial"/>
          <w:sz w:val="22"/>
        </w:rPr>
      </w:pPr>
    </w:p>
    <w:p w14:paraId="54D27DC0" w14:textId="436128ED" w:rsidR="00FB672C" w:rsidRPr="00734D31" w:rsidRDefault="00FB672C" w:rsidP="006A66CD">
      <w:pPr>
        <w:pStyle w:val="PargrafodaLista"/>
        <w:numPr>
          <w:ilvl w:val="1"/>
          <w:numId w:val="5"/>
        </w:numPr>
        <w:spacing w:after="0" w:line="360" w:lineRule="auto"/>
        <w:ind w:left="0" w:firstLine="0"/>
        <w:jc w:val="both"/>
        <w:rPr>
          <w:rFonts w:cs="Arial"/>
          <w:b/>
          <w:bCs/>
          <w:sz w:val="22"/>
        </w:rPr>
      </w:pPr>
      <w:bookmarkStart w:id="4" w:name="_Toc450140976"/>
      <w:r w:rsidRPr="00734D31">
        <w:rPr>
          <w:rFonts w:cs="Arial"/>
          <w:b/>
          <w:bCs/>
          <w:sz w:val="22"/>
        </w:rPr>
        <w:t>Padrões de Conduta Corporativa</w:t>
      </w:r>
      <w:bookmarkEnd w:id="4"/>
    </w:p>
    <w:p w14:paraId="29C2FB82" w14:textId="77777777" w:rsidR="00734D31" w:rsidRDefault="00734D31" w:rsidP="006A66CD">
      <w:pPr>
        <w:spacing w:after="0" w:line="360" w:lineRule="auto"/>
        <w:jc w:val="both"/>
        <w:rPr>
          <w:rFonts w:cs="Arial"/>
          <w:sz w:val="22"/>
        </w:rPr>
      </w:pPr>
    </w:p>
    <w:p w14:paraId="7FE2FACA" w14:textId="2A7C5E60" w:rsidR="00FB672C" w:rsidRPr="006A66CD" w:rsidRDefault="00FB672C" w:rsidP="006A66CD">
      <w:pPr>
        <w:spacing w:after="0" w:line="360" w:lineRule="auto"/>
        <w:jc w:val="both"/>
        <w:rPr>
          <w:rFonts w:cs="Arial"/>
          <w:sz w:val="22"/>
        </w:rPr>
      </w:pPr>
      <w:r w:rsidRPr="006A66CD">
        <w:rPr>
          <w:rFonts w:cs="Arial"/>
          <w:sz w:val="22"/>
        </w:rPr>
        <w:t xml:space="preserve">As atividades da </w:t>
      </w:r>
      <w:r w:rsidR="00B662A1">
        <w:rPr>
          <w:rFonts w:cs="Arial"/>
          <w:sz w:val="22"/>
        </w:rPr>
        <w:t>REAG Securities</w:t>
      </w:r>
      <w:r w:rsidRPr="006A66CD">
        <w:rPr>
          <w:rFonts w:cs="Arial"/>
          <w:sz w:val="22"/>
        </w:rPr>
        <w:t xml:space="preserve"> devem ser realizadas visando à obtenção da confiança de seus clientes e Colaboradores. Para isto, a sociedade deverá observar os seguintes princípios que constituem os seus valores básicos de conduta corporativa:</w:t>
      </w:r>
    </w:p>
    <w:p w14:paraId="66FBB195" w14:textId="19F61AD8" w:rsidR="00FB672C" w:rsidRPr="006A66CD" w:rsidRDefault="00B756B5" w:rsidP="006A66CD">
      <w:pPr>
        <w:spacing w:after="0" w:line="360" w:lineRule="auto"/>
        <w:ind w:left="708"/>
        <w:jc w:val="both"/>
        <w:rPr>
          <w:rFonts w:cs="Arial"/>
          <w:sz w:val="22"/>
        </w:rPr>
      </w:pPr>
      <w:r w:rsidRPr="006A66CD">
        <w:rPr>
          <w:rFonts w:cs="Arial"/>
          <w:sz w:val="22"/>
        </w:rPr>
        <w:t xml:space="preserve">(i) </w:t>
      </w:r>
      <w:r w:rsidR="00DB28D3" w:rsidRPr="006A66CD">
        <w:rPr>
          <w:rFonts w:cs="Arial"/>
          <w:sz w:val="22"/>
        </w:rPr>
        <w:t>a</w:t>
      </w:r>
      <w:r w:rsidR="00FB672C" w:rsidRPr="006A66CD">
        <w:rPr>
          <w:rFonts w:cs="Arial"/>
          <w:sz w:val="22"/>
        </w:rPr>
        <w:t xml:space="preserve"> </w:t>
      </w:r>
      <w:r w:rsidR="00B662A1">
        <w:rPr>
          <w:rFonts w:cs="Arial"/>
          <w:sz w:val="22"/>
        </w:rPr>
        <w:t>REAG Securities</w:t>
      </w:r>
      <w:r w:rsidR="00FB672C" w:rsidRPr="006A66CD">
        <w:rPr>
          <w:rFonts w:cs="Arial"/>
          <w:sz w:val="22"/>
        </w:rPr>
        <w:t xml:space="preserve"> não fará e nem tolerar</w:t>
      </w:r>
      <w:r w:rsidRPr="006A66CD">
        <w:rPr>
          <w:rFonts w:cs="Arial"/>
          <w:sz w:val="22"/>
        </w:rPr>
        <w:t>á</w:t>
      </w:r>
      <w:r w:rsidR="00FB672C" w:rsidRPr="006A66CD">
        <w:rPr>
          <w:rFonts w:cs="Arial"/>
          <w:sz w:val="22"/>
        </w:rPr>
        <w:t xml:space="preserve"> qualquer violação de lei ou regulamento na condução de seus negócios;</w:t>
      </w:r>
    </w:p>
    <w:p w14:paraId="70563B32" w14:textId="3D71E041" w:rsidR="00FB672C" w:rsidRPr="006A66CD" w:rsidRDefault="00B756B5" w:rsidP="006A66CD">
      <w:pPr>
        <w:spacing w:after="0" w:line="360" w:lineRule="auto"/>
        <w:ind w:left="708"/>
        <w:jc w:val="both"/>
        <w:rPr>
          <w:rFonts w:cs="Arial"/>
          <w:sz w:val="22"/>
        </w:rPr>
      </w:pPr>
      <w:r w:rsidRPr="006A66CD">
        <w:rPr>
          <w:rFonts w:cs="Arial"/>
          <w:sz w:val="22"/>
        </w:rPr>
        <w:t>(</w:t>
      </w:r>
      <w:proofErr w:type="spellStart"/>
      <w:r w:rsidRPr="006A66CD">
        <w:rPr>
          <w:rFonts w:cs="Arial"/>
          <w:sz w:val="22"/>
        </w:rPr>
        <w:t>ii</w:t>
      </w:r>
      <w:proofErr w:type="spellEnd"/>
      <w:r w:rsidRPr="006A66CD">
        <w:rPr>
          <w:rFonts w:cs="Arial"/>
          <w:sz w:val="22"/>
        </w:rPr>
        <w:t xml:space="preserve">) </w:t>
      </w:r>
      <w:r w:rsidR="00DB28D3" w:rsidRPr="006A66CD">
        <w:rPr>
          <w:rFonts w:cs="Arial"/>
          <w:sz w:val="22"/>
        </w:rPr>
        <w:t>a</w:t>
      </w:r>
      <w:r w:rsidR="00FB672C" w:rsidRPr="006A66CD">
        <w:rPr>
          <w:rFonts w:cs="Arial"/>
          <w:sz w:val="22"/>
        </w:rPr>
        <w:t xml:space="preserve"> </w:t>
      </w:r>
      <w:r w:rsidR="00B662A1">
        <w:rPr>
          <w:rFonts w:cs="Arial"/>
          <w:sz w:val="22"/>
        </w:rPr>
        <w:t xml:space="preserve">REAG </w:t>
      </w:r>
      <w:proofErr w:type="spellStart"/>
      <w:r w:rsidR="00B662A1">
        <w:rPr>
          <w:rFonts w:cs="Arial"/>
          <w:sz w:val="22"/>
        </w:rPr>
        <w:t>Securities</w:t>
      </w:r>
      <w:proofErr w:type="spellEnd"/>
      <w:r w:rsidR="00FB672C" w:rsidRPr="006A66CD">
        <w:rPr>
          <w:rFonts w:cs="Arial"/>
          <w:sz w:val="22"/>
        </w:rPr>
        <w:t xml:space="preserve"> cooperará integralmente com os órgãos reguladores e auditores bem como divulgará oportunamente as informações exigidas por estes órgãos competentes;</w:t>
      </w:r>
    </w:p>
    <w:p w14:paraId="5E6FE1B9" w14:textId="48E026C0" w:rsidR="00FB672C" w:rsidRPr="006A66CD" w:rsidRDefault="00B756B5" w:rsidP="006A66CD">
      <w:pPr>
        <w:spacing w:after="0" w:line="360" w:lineRule="auto"/>
        <w:ind w:left="708"/>
        <w:jc w:val="both"/>
        <w:rPr>
          <w:rFonts w:cs="Arial"/>
          <w:sz w:val="22"/>
        </w:rPr>
      </w:pPr>
      <w:r w:rsidRPr="006A66CD">
        <w:rPr>
          <w:rFonts w:cs="Arial"/>
          <w:sz w:val="22"/>
        </w:rPr>
        <w:t>(</w:t>
      </w:r>
      <w:proofErr w:type="spellStart"/>
      <w:r w:rsidRPr="006A66CD">
        <w:rPr>
          <w:rFonts w:cs="Arial"/>
          <w:sz w:val="22"/>
        </w:rPr>
        <w:t>iii</w:t>
      </w:r>
      <w:proofErr w:type="spellEnd"/>
      <w:r w:rsidRPr="006A66CD">
        <w:rPr>
          <w:rFonts w:cs="Arial"/>
          <w:sz w:val="22"/>
        </w:rPr>
        <w:t xml:space="preserve">) </w:t>
      </w:r>
      <w:r w:rsidR="00DB28D3" w:rsidRPr="006A66CD">
        <w:rPr>
          <w:rFonts w:cs="Arial"/>
          <w:sz w:val="22"/>
        </w:rPr>
        <w:t>a</w:t>
      </w:r>
      <w:r w:rsidR="00FB672C" w:rsidRPr="006A66CD">
        <w:rPr>
          <w:rFonts w:cs="Arial"/>
          <w:sz w:val="22"/>
        </w:rPr>
        <w:t xml:space="preserve"> </w:t>
      </w:r>
      <w:r w:rsidR="00B662A1">
        <w:rPr>
          <w:rFonts w:cs="Arial"/>
          <w:sz w:val="22"/>
        </w:rPr>
        <w:t xml:space="preserve">REAG </w:t>
      </w:r>
      <w:proofErr w:type="spellStart"/>
      <w:r w:rsidR="00B662A1">
        <w:rPr>
          <w:rFonts w:cs="Arial"/>
          <w:sz w:val="22"/>
        </w:rPr>
        <w:t>Securities</w:t>
      </w:r>
      <w:proofErr w:type="spellEnd"/>
      <w:r w:rsidR="00FB672C" w:rsidRPr="006A66CD">
        <w:rPr>
          <w:rFonts w:cs="Arial"/>
          <w:sz w:val="22"/>
        </w:rPr>
        <w:t xml:space="preserve"> manterá e apoiará as normas e procedimentos designados a salvaguardar a confidencialidades de suas informações, das informações dos seus clientes e dos seus Colaboradores; </w:t>
      </w:r>
      <w:r w:rsidR="00AF56D1" w:rsidRPr="006A66CD">
        <w:rPr>
          <w:rFonts w:cs="Arial"/>
          <w:sz w:val="22"/>
        </w:rPr>
        <w:t>e</w:t>
      </w:r>
    </w:p>
    <w:p w14:paraId="05336C73" w14:textId="79FC5C92" w:rsidR="00FB672C" w:rsidRPr="006A66CD" w:rsidRDefault="009877CC" w:rsidP="006A66CD">
      <w:pPr>
        <w:spacing w:after="0" w:line="360" w:lineRule="auto"/>
        <w:ind w:left="708"/>
        <w:jc w:val="both"/>
        <w:rPr>
          <w:rFonts w:cs="Arial"/>
          <w:sz w:val="22"/>
        </w:rPr>
      </w:pPr>
      <w:r w:rsidRPr="006A66CD">
        <w:rPr>
          <w:rFonts w:cs="Arial"/>
          <w:sz w:val="22"/>
        </w:rPr>
        <w:t>(iv)</w:t>
      </w:r>
      <w:r w:rsidR="00FB672C" w:rsidRPr="006A66CD">
        <w:rPr>
          <w:rFonts w:cs="Arial"/>
          <w:sz w:val="22"/>
        </w:rPr>
        <w:t xml:space="preserve"> </w:t>
      </w:r>
      <w:r w:rsidR="00DB28D3" w:rsidRPr="006A66CD">
        <w:rPr>
          <w:rFonts w:cs="Arial"/>
          <w:sz w:val="22"/>
        </w:rPr>
        <w:t>a</w:t>
      </w:r>
      <w:r w:rsidR="00FB672C" w:rsidRPr="006A66CD">
        <w:rPr>
          <w:rFonts w:cs="Arial"/>
          <w:sz w:val="22"/>
        </w:rPr>
        <w:t xml:space="preserve"> </w:t>
      </w:r>
      <w:r w:rsidR="00B662A1">
        <w:rPr>
          <w:rFonts w:cs="Arial"/>
          <w:sz w:val="22"/>
        </w:rPr>
        <w:t>REAG Securities</w:t>
      </w:r>
      <w:r w:rsidR="00FB672C" w:rsidRPr="006A66CD">
        <w:rPr>
          <w:rFonts w:cs="Arial"/>
          <w:sz w:val="22"/>
        </w:rPr>
        <w:t xml:space="preserve"> conduzirá seus negócios dentro da concorrência justa, leal e aberta, não realizando composições ilegais com concorrentes que afetem as políticas de precificação</w:t>
      </w:r>
      <w:r w:rsidR="00AF56D1" w:rsidRPr="006A66CD">
        <w:rPr>
          <w:rFonts w:cs="Arial"/>
          <w:sz w:val="22"/>
        </w:rPr>
        <w:t>.</w:t>
      </w:r>
    </w:p>
    <w:p w14:paraId="3AE5180A" w14:textId="77777777" w:rsidR="00163B35" w:rsidRPr="006A66CD" w:rsidRDefault="00163B35" w:rsidP="006A66CD">
      <w:pPr>
        <w:spacing w:after="0" w:line="360" w:lineRule="auto"/>
        <w:jc w:val="both"/>
        <w:rPr>
          <w:rFonts w:cs="Arial"/>
          <w:sz w:val="22"/>
        </w:rPr>
      </w:pPr>
    </w:p>
    <w:p w14:paraId="720B5594" w14:textId="2DB6DD4A" w:rsidR="00163B35" w:rsidRPr="00734D31" w:rsidRDefault="00612028" w:rsidP="006A66CD">
      <w:pPr>
        <w:pStyle w:val="PargrafodaLista"/>
        <w:numPr>
          <w:ilvl w:val="1"/>
          <w:numId w:val="5"/>
        </w:numPr>
        <w:spacing w:after="0" w:line="360" w:lineRule="auto"/>
        <w:ind w:left="0" w:firstLine="0"/>
        <w:jc w:val="both"/>
        <w:rPr>
          <w:rFonts w:cs="Arial"/>
          <w:b/>
          <w:bCs/>
          <w:sz w:val="22"/>
        </w:rPr>
      </w:pPr>
      <w:r w:rsidRPr="00734D31">
        <w:rPr>
          <w:rFonts w:cs="Arial"/>
          <w:b/>
          <w:bCs/>
          <w:sz w:val="22"/>
        </w:rPr>
        <w:t>Restrições</w:t>
      </w:r>
      <w:r w:rsidR="00163B35" w:rsidRPr="00734D31">
        <w:rPr>
          <w:rFonts w:cs="Arial"/>
          <w:b/>
          <w:bCs/>
          <w:sz w:val="22"/>
        </w:rPr>
        <w:t xml:space="preserve"> de Conduta:</w:t>
      </w:r>
    </w:p>
    <w:p w14:paraId="40CD4026" w14:textId="77777777" w:rsidR="00734D31" w:rsidRPr="006A66CD" w:rsidRDefault="00734D31" w:rsidP="00734D31">
      <w:pPr>
        <w:pStyle w:val="PargrafodaLista"/>
        <w:spacing w:after="0" w:line="360" w:lineRule="auto"/>
        <w:ind w:left="0"/>
        <w:jc w:val="both"/>
        <w:rPr>
          <w:rFonts w:cs="Arial"/>
          <w:sz w:val="22"/>
        </w:rPr>
      </w:pPr>
    </w:p>
    <w:p w14:paraId="12E9985D" w14:textId="44C6CCAF" w:rsidR="00163B35" w:rsidRPr="006A66CD" w:rsidRDefault="00163B35" w:rsidP="006A66CD">
      <w:pPr>
        <w:spacing w:after="0" w:line="360" w:lineRule="auto"/>
        <w:jc w:val="both"/>
        <w:rPr>
          <w:rFonts w:cs="Arial"/>
          <w:sz w:val="22"/>
        </w:rPr>
      </w:pPr>
      <w:r w:rsidRPr="006A66CD">
        <w:rPr>
          <w:rFonts w:cs="Arial"/>
          <w:sz w:val="22"/>
        </w:rPr>
        <w:t>A Companhia se compromete a não:</w:t>
      </w:r>
    </w:p>
    <w:p w14:paraId="3C547861" w14:textId="39226480" w:rsidR="00163B35" w:rsidRPr="006A66CD" w:rsidRDefault="00163B35" w:rsidP="006A66CD">
      <w:pPr>
        <w:spacing w:after="0" w:line="360" w:lineRule="auto"/>
        <w:ind w:left="708"/>
        <w:jc w:val="both"/>
        <w:rPr>
          <w:rFonts w:cs="Arial"/>
          <w:sz w:val="22"/>
        </w:rPr>
      </w:pPr>
      <w:r w:rsidRPr="006A66CD">
        <w:rPr>
          <w:rFonts w:cs="Arial"/>
          <w:sz w:val="22"/>
        </w:rPr>
        <w:t>(i)</w:t>
      </w:r>
      <w:r w:rsidR="00311312" w:rsidRPr="006A66CD">
        <w:rPr>
          <w:rFonts w:cs="Arial"/>
          <w:sz w:val="22"/>
        </w:rPr>
        <w:t xml:space="preserve"> adquirir direitos creditórios ou subscrever títulos de dívida originados ou emitidos, direta ou indiretamente, por partes a ela relacionadas, com o propósito de lastrear suas emissões, </w:t>
      </w:r>
      <w:r w:rsidR="00311312" w:rsidRPr="006A66CD">
        <w:rPr>
          <w:rFonts w:cs="Arial"/>
          <w:sz w:val="22"/>
        </w:rPr>
        <w:lastRenderedPageBreak/>
        <w:t>salvo quan</w:t>
      </w:r>
      <w:r w:rsidR="00332E64" w:rsidRPr="006A66CD">
        <w:rPr>
          <w:rFonts w:cs="Arial"/>
          <w:sz w:val="22"/>
        </w:rPr>
        <w:t>do: (</w:t>
      </w:r>
      <w:proofErr w:type="spellStart"/>
      <w:r w:rsidR="00332E64" w:rsidRPr="006A66CD">
        <w:rPr>
          <w:rFonts w:cs="Arial"/>
          <w:sz w:val="22"/>
        </w:rPr>
        <w:t>i.i</w:t>
      </w:r>
      <w:proofErr w:type="spellEnd"/>
      <w:r w:rsidR="00332E64" w:rsidRPr="006A66CD">
        <w:rPr>
          <w:rFonts w:cs="Arial"/>
          <w:sz w:val="22"/>
        </w:rPr>
        <w:t>) os títulos de securitização forem de colocação exclusiva junto a investidores qualificados; (</w:t>
      </w:r>
      <w:proofErr w:type="spellStart"/>
      <w:r w:rsidR="00332E64" w:rsidRPr="006A66CD">
        <w:rPr>
          <w:rFonts w:cs="Arial"/>
          <w:sz w:val="22"/>
        </w:rPr>
        <w:t>i.ii</w:t>
      </w:r>
      <w:proofErr w:type="spellEnd"/>
      <w:r w:rsidR="00332E64" w:rsidRPr="006A66CD">
        <w:rPr>
          <w:rFonts w:cs="Arial"/>
          <w:sz w:val="22"/>
        </w:rPr>
        <w:t>) os títulos de securitização fore</w:t>
      </w:r>
      <w:r w:rsidR="008F660E" w:rsidRPr="006A66CD">
        <w:rPr>
          <w:rFonts w:cs="Arial"/>
          <w:sz w:val="22"/>
        </w:rPr>
        <w:t>m</w:t>
      </w:r>
      <w:r w:rsidR="00332E64" w:rsidRPr="006A66CD">
        <w:rPr>
          <w:rFonts w:cs="Arial"/>
          <w:sz w:val="22"/>
        </w:rPr>
        <w:t xml:space="preserve"> de colocação exclusiva junto a sociedades que integram o grupo econômico da </w:t>
      </w:r>
      <w:r w:rsidR="00612028" w:rsidRPr="006A66CD">
        <w:rPr>
          <w:rFonts w:cs="Arial"/>
          <w:sz w:val="22"/>
        </w:rPr>
        <w:t>C</w:t>
      </w:r>
      <w:r w:rsidR="00332E64" w:rsidRPr="006A66CD">
        <w:rPr>
          <w:rFonts w:cs="Arial"/>
          <w:sz w:val="22"/>
        </w:rPr>
        <w:t xml:space="preserve">ompanhia; </w:t>
      </w:r>
      <w:r w:rsidR="008F660E" w:rsidRPr="006A66CD">
        <w:rPr>
          <w:rFonts w:cs="Arial"/>
          <w:sz w:val="22"/>
        </w:rPr>
        <w:t>(</w:t>
      </w:r>
      <w:proofErr w:type="spellStart"/>
      <w:r w:rsidR="008F660E" w:rsidRPr="006A66CD">
        <w:rPr>
          <w:rFonts w:cs="Arial"/>
          <w:sz w:val="22"/>
        </w:rPr>
        <w:t>i.iii</w:t>
      </w:r>
      <w:proofErr w:type="spellEnd"/>
      <w:r w:rsidR="00332E64" w:rsidRPr="006A66CD">
        <w:rPr>
          <w:rFonts w:cs="Arial"/>
          <w:sz w:val="22"/>
        </w:rPr>
        <w:t xml:space="preserve">) as partes relacionadas sejam instituições financeiras e a cessão observar os normativos do Conselho Monetário Nacional e do Banco Central do Brasil; </w:t>
      </w:r>
      <w:r w:rsidR="008F660E" w:rsidRPr="006A66CD">
        <w:rPr>
          <w:rFonts w:cs="Arial"/>
          <w:sz w:val="22"/>
        </w:rPr>
        <w:t>(</w:t>
      </w:r>
      <w:proofErr w:type="spellStart"/>
      <w:r w:rsidR="008F660E" w:rsidRPr="006A66CD">
        <w:rPr>
          <w:rFonts w:cs="Arial"/>
          <w:sz w:val="22"/>
        </w:rPr>
        <w:t>i.iv</w:t>
      </w:r>
      <w:proofErr w:type="spellEnd"/>
      <w:r w:rsidR="008F660E" w:rsidRPr="006A66CD">
        <w:rPr>
          <w:rFonts w:cs="Arial"/>
          <w:sz w:val="22"/>
        </w:rPr>
        <w:t>)</w:t>
      </w:r>
      <w:r w:rsidR="00332E64" w:rsidRPr="006A66CD">
        <w:rPr>
          <w:rFonts w:cs="Arial"/>
          <w:sz w:val="22"/>
        </w:rPr>
        <w:t xml:space="preserve"> houver a prática de </w:t>
      </w:r>
      <w:proofErr w:type="spellStart"/>
      <w:r w:rsidR="00332E64" w:rsidRPr="00FA4E6D">
        <w:rPr>
          <w:rFonts w:cs="Arial"/>
          <w:i/>
          <w:iCs/>
          <w:sz w:val="22"/>
        </w:rPr>
        <w:t>warehousing</w:t>
      </w:r>
      <w:proofErr w:type="spellEnd"/>
      <w:r w:rsidR="00332E64" w:rsidRPr="006A66CD">
        <w:rPr>
          <w:rFonts w:cs="Arial"/>
          <w:sz w:val="22"/>
        </w:rPr>
        <w:t xml:space="preserve">; ou </w:t>
      </w:r>
      <w:r w:rsidR="008F660E" w:rsidRPr="006A66CD">
        <w:rPr>
          <w:rFonts w:cs="Arial"/>
          <w:sz w:val="22"/>
        </w:rPr>
        <w:t>(</w:t>
      </w:r>
      <w:proofErr w:type="spellStart"/>
      <w:r w:rsidR="008F660E" w:rsidRPr="006A66CD">
        <w:rPr>
          <w:rFonts w:cs="Arial"/>
          <w:sz w:val="22"/>
        </w:rPr>
        <w:t>i.v</w:t>
      </w:r>
      <w:proofErr w:type="spellEnd"/>
      <w:r w:rsidR="00332E64" w:rsidRPr="006A66CD">
        <w:rPr>
          <w:rFonts w:cs="Arial"/>
          <w:sz w:val="22"/>
        </w:rPr>
        <w:t>) houver gestão da inadimplência da carteira de direitos creditórios do patrimônio separado por meio de operação de cessão a partes relacionadas de direitos creditórios inadimplidos em troca de novos direitos creditórios aderentes aos critérios de elegibilidade e demais termos e condições estabelecidos no instrumento de emissão, desde que a operação seja necessária para que os investidores recebam a remuneração prevista no instrumento de emissão</w:t>
      </w:r>
      <w:r w:rsidR="008F660E" w:rsidRPr="006A66CD">
        <w:rPr>
          <w:rFonts w:cs="Arial"/>
          <w:sz w:val="22"/>
        </w:rPr>
        <w:t>;</w:t>
      </w:r>
    </w:p>
    <w:p w14:paraId="2BF6F521" w14:textId="19927EAC" w:rsidR="00163B35" w:rsidRPr="006A66CD" w:rsidRDefault="00163B35" w:rsidP="006A66CD">
      <w:pPr>
        <w:spacing w:after="0" w:line="360" w:lineRule="auto"/>
        <w:ind w:left="708"/>
        <w:jc w:val="both"/>
        <w:rPr>
          <w:rFonts w:cs="Arial"/>
          <w:sz w:val="22"/>
        </w:rPr>
      </w:pPr>
      <w:r w:rsidRPr="006A66CD">
        <w:rPr>
          <w:rFonts w:cs="Arial"/>
          <w:sz w:val="22"/>
        </w:rPr>
        <w:t>(ii)</w:t>
      </w:r>
      <w:r w:rsidR="006364C5" w:rsidRPr="006A66CD">
        <w:rPr>
          <w:rFonts w:cs="Arial"/>
          <w:sz w:val="22"/>
        </w:rPr>
        <w:t xml:space="preserve"> prestar garantias em benefício próprio ou de outro patrimônio separado, utilizando os bens ou direitos sob regime fiduciário</w:t>
      </w:r>
      <w:r w:rsidR="00F50849" w:rsidRPr="006A66CD">
        <w:rPr>
          <w:rFonts w:cs="Arial"/>
          <w:sz w:val="22"/>
        </w:rPr>
        <w:t>;</w:t>
      </w:r>
    </w:p>
    <w:p w14:paraId="1A310AB6" w14:textId="461E856B" w:rsidR="00163B35" w:rsidRPr="006A66CD" w:rsidRDefault="00163B35" w:rsidP="006A66CD">
      <w:pPr>
        <w:spacing w:after="0" w:line="360" w:lineRule="auto"/>
        <w:ind w:left="708"/>
        <w:jc w:val="both"/>
        <w:rPr>
          <w:rFonts w:cs="Arial"/>
          <w:sz w:val="22"/>
        </w:rPr>
      </w:pPr>
      <w:r w:rsidRPr="006A66CD">
        <w:rPr>
          <w:rFonts w:cs="Arial"/>
          <w:sz w:val="22"/>
        </w:rPr>
        <w:t>(iii)</w:t>
      </w:r>
      <w:r w:rsidR="00F50849" w:rsidRPr="006A66CD">
        <w:rPr>
          <w:rFonts w:cs="Arial"/>
          <w:sz w:val="22"/>
        </w:rPr>
        <w:t xml:space="preserve"> receber recursos provenientes dos ativos vinculados em conta corrente ou de pagamento não vinculada à emissão</w:t>
      </w:r>
      <w:r w:rsidR="00734D31">
        <w:rPr>
          <w:rFonts w:cs="Arial"/>
          <w:sz w:val="22"/>
        </w:rPr>
        <w:t>;</w:t>
      </w:r>
    </w:p>
    <w:p w14:paraId="3AADCB64" w14:textId="5CFF345C" w:rsidR="00163B35" w:rsidRPr="006A66CD" w:rsidRDefault="00163B35" w:rsidP="006A66CD">
      <w:pPr>
        <w:spacing w:after="0" w:line="360" w:lineRule="auto"/>
        <w:ind w:left="708"/>
        <w:jc w:val="both"/>
        <w:rPr>
          <w:rFonts w:cs="Arial"/>
          <w:sz w:val="22"/>
        </w:rPr>
      </w:pPr>
      <w:r w:rsidRPr="006A66CD">
        <w:rPr>
          <w:rFonts w:cs="Arial"/>
          <w:sz w:val="22"/>
        </w:rPr>
        <w:t>(iv)</w:t>
      </w:r>
      <w:r w:rsidR="00F50849" w:rsidRPr="006A66CD">
        <w:rPr>
          <w:rFonts w:cs="Arial"/>
          <w:sz w:val="22"/>
        </w:rPr>
        <w:t xml:space="preserve"> adiantar rendas futuras aos investidores, sem prejuízo da possibilidade de resgate antecipado, amortização extraordinária, ou outra forma de liquidação adiantada, desde que prevista no instrumento de emissão ou aprovada em assembleia especial de investidores;</w:t>
      </w:r>
    </w:p>
    <w:p w14:paraId="6318B6EA" w14:textId="0F929DC8" w:rsidR="00163B35" w:rsidRPr="006A66CD" w:rsidRDefault="00163B35" w:rsidP="006A66CD">
      <w:pPr>
        <w:spacing w:after="0" w:line="360" w:lineRule="auto"/>
        <w:ind w:left="708"/>
        <w:jc w:val="both"/>
        <w:rPr>
          <w:rFonts w:cs="Arial"/>
          <w:sz w:val="22"/>
        </w:rPr>
      </w:pPr>
      <w:r w:rsidRPr="006A66CD">
        <w:rPr>
          <w:rFonts w:cs="Arial"/>
          <w:sz w:val="22"/>
        </w:rPr>
        <w:t>(v)</w:t>
      </w:r>
      <w:r w:rsidR="00F50849" w:rsidRPr="006A66CD">
        <w:rPr>
          <w:rFonts w:cs="Arial"/>
          <w:sz w:val="22"/>
        </w:rPr>
        <w:t xml:space="preserve"> aplicar no exterior os recursos captados com a emissão;</w:t>
      </w:r>
    </w:p>
    <w:p w14:paraId="17AAC3AA" w14:textId="33568224" w:rsidR="006364C5" w:rsidRPr="006A66CD" w:rsidRDefault="006364C5" w:rsidP="006A66CD">
      <w:pPr>
        <w:spacing w:after="0" w:line="360" w:lineRule="auto"/>
        <w:ind w:left="708"/>
        <w:jc w:val="both"/>
        <w:rPr>
          <w:rFonts w:cs="Arial"/>
          <w:sz w:val="22"/>
        </w:rPr>
      </w:pPr>
      <w:r w:rsidRPr="006A66CD">
        <w:rPr>
          <w:rFonts w:cs="Arial"/>
          <w:sz w:val="22"/>
        </w:rPr>
        <w:t>(vi)</w:t>
      </w:r>
      <w:r w:rsidR="00F50849" w:rsidRPr="006A66CD">
        <w:rPr>
          <w:rFonts w:cs="Arial"/>
          <w:sz w:val="22"/>
        </w:rPr>
        <w:t xml:space="preserve"> contrair ou efetuar empréstimos em nome dos patrimônios separados que administre; e</w:t>
      </w:r>
    </w:p>
    <w:p w14:paraId="4F555347" w14:textId="7E17F6F4" w:rsidR="00F50849" w:rsidRPr="006A66CD" w:rsidRDefault="006364C5" w:rsidP="006A66CD">
      <w:pPr>
        <w:spacing w:after="0" w:line="360" w:lineRule="auto"/>
        <w:ind w:left="708"/>
        <w:jc w:val="both"/>
        <w:rPr>
          <w:rFonts w:cs="Arial"/>
          <w:sz w:val="22"/>
        </w:rPr>
      </w:pPr>
      <w:r w:rsidRPr="006A66CD">
        <w:rPr>
          <w:rFonts w:cs="Arial"/>
          <w:sz w:val="22"/>
        </w:rPr>
        <w:t>(vii)</w:t>
      </w:r>
      <w:r w:rsidR="00F50849" w:rsidRPr="006A66CD">
        <w:rPr>
          <w:rFonts w:cs="Arial"/>
          <w:sz w:val="22"/>
        </w:rPr>
        <w:t xml:space="preserve"> negligenciar, em qualquer circunstância, a defesa dos direitos e interesses dos titulares dos títulos de securitização por ela emitidos.</w:t>
      </w:r>
    </w:p>
    <w:p w14:paraId="2DDF5E49" w14:textId="77777777" w:rsidR="006A66CD" w:rsidRDefault="006A66CD" w:rsidP="006A66CD">
      <w:pPr>
        <w:spacing w:after="0" w:line="360" w:lineRule="auto"/>
        <w:jc w:val="both"/>
        <w:rPr>
          <w:rFonts w:cs="Arial"/>
          <w:sz w:val="22"/>
        </w:rPr>
      </w:pPr>
    </w:p>
    <w:p w14:paraId="0CBB74CF" w14:textId="576F0DF4" w:rsidR="00925CBA" w:rsidRPr="006A66CD" w:rsidRDefault="00925CBA" w:rsidP="006A66CD">
      <w:pPr>
        <w:spacing w:after="0" w:line="360" w:lineRule="auto"/>
        <w:jc w:val="both"/>
        <w:rPr>
          <w:rFonts w:cs="Arial"/>
          <w:sz w:val="22"/>
        </w:rPr>
      </w:pPr>
      <w:r w:rsidRPr="006A66CD">
        <w:rPr>
          <w:rFonts w:cs="Arial"/>
          <w:sz w:val="22"/>
        </w:rPr>
        <w:t xml:space="preserve">Na hipótese de que trata o </w:t>
      </w:r>
      <w:r w:rsidR="001557FB" w:rsidRPr="006A66CD">
        <w:rPr>
          <w:rFonts w:cs="Arial"/>
          <w:sz w:val="22"/>
        </w:rPr>
        <w:t>item</w:t>
      </w:r>
      <w:r w:rsidRPr="006A66CD">
        <w:rPr>
          <w:rFonts w:cs="Arial"/>
          <w:sz w:val="22"/>
        </w:rPr>
        <w:t xml:space="preserve"> </w:t>
      </w:r>
      <w:r w:rsidR="001557FB" w:rsidRPr="006A66CD">
        <w:rPr>
          <w:rFonts w:cs="Arial"/>
          <w:sz w:val="22"/>
        </w:rPr>
        <w:t>(i)</w:t>
      </w:r>
      <w:r w:rsidRPr="006A66CD">
        <w:rPr>
          <w:rFonts w:cs="Arial"/>
          <w:sz w:val="22"/>
        </w:rPr>
        <w:t>, os investidores devem ser adequadamente informados, inclusive mediante disposições expressas no instrumento de emissão sobre</w:t>
      </w:r>
      <w:r w:rsidR="004B2FD7">
        <w:rPr>
          <w:rFonts w:cs="Arial"/>
          <w:sz w:val="22"/>
        </w:rPr>
        <w:t>:</w:t>
      </w:r>
      <w:r w:rsidR="001557FB" w:rsidRPr="006A66CD">
        <w:rPr>
          <w:rFonts w:cs="Arial"/>
          <w:sz w:val="22"/>
        </w:rPr>
        <w:t xml:space="preserve"> </w:t>
      </w:r>
      <w:r w:rsidR="00C17CC0">
        <w:rPr>
          <w:rFonts w:cs="Arial"/>
          <w:sz w:val="22"/>
        </w:rPr>
        <w:t xml:space="preserve">(a) </w:t>
      </w:r>
      <w:r w:rsidR="001557FB" w:rsidRPr="006A66CD">
        <w:rPr>
          <w:rFonts w:cs="Arial"/>
          <w:sz w:val="22"/>
        </w:rPr>
        <w:t xml:space="preserve">a existência e extensão do potencial conflito de interesses; </w:t>
      </w:r>
      <w:r w:rsidR="00C17CC0">
        <w:rPr>
          <w:rFonts w:cs="Arial"/>
          <w:sz w:val="22"/>
        </w:rPr>
        <w:t xml:space="preserve">(b) </w:t>
      </w:r>
      <w:r w:rsidR="001557FB" w:rsidRPr="006A66CD">
        <w:rPr>
          <w:rFonts w:cs="Arial"/>
          <w:sz w:val="22"/>
        </w:rPr>
        <w:t xml:space="preserve">as medidas adotadas pela </w:t>
      </w:r>
      <w:r w:rsidR="00F035F8">
        <w:rPr>
          <w:rFonts w:cs="Arial"/>
          <w:sz w:val="22"/>
        </w:rPr>
        <w:t>REAG Securities</w:t>
      </w:r>
      <w:r w:rsidR="001557FB" w:rsidRPr="006A66CD">
        <w:rPr>
          <w:rFonts w:cs="Arial"/>
          <w:sz w:val="22"/>
        </w:rPr>
        <w:t xml:space="preserve"> para mitigação do potencial conflito de interesses em questão; e </w:t>
      </w:r>
      <w:r w:rsidR="00C17CC0">
        <w:rPr>
          <w:rFonts w:cs="Arial"/>
          <w:sz w:val="22"/>
        </w:rPr>
        <w:t xml:space="preserve">(c) </w:t>
      </w:r>
      <w:r w:rsidR="001557FB" w:rsidRPr="006A66CD">
        <w:rPr>
          <w:rFonts w:cs="Arial"/>
          <w:sz w:val="22"/>
        </w:rPr>
        <w:t>os fatores de risco decorrentes do potencial conflito de interesses em questão.</w:t>
      </w:r>
    </w:p>
    <w:p w14:paraId="20D41D05" w14:textId="77777777" w:rsidR="00FB672C" w:rsidRPr="006A66CD" w:rsidRDefault="00FB672C" w:rsidP="006A66CD">
      <w:pPr>
        <w:spacing w:after="0" w:line="360" w:lineRule="auto"/>
        <w:jc w:val="both"/>
        <w:rPr>
          <w:rFonts w:cs="Arial"/>
          <w:sz w:val="22"/>
        </w:rPr>
      </w:pPr>
    </w:p>
    <w:p w14:paraId="046A06DC" w14:textId="40E9583A" w:rsidR="00FB672C" w:rsidRPr="006A205C" w:rsidRDefault="00FB672C" w:rsidP="006A66CD">
      <w:pPr>
        <w:pStyle w:val="PargrafodaLista"/>
        <w:numPr>
          <w:ilvl w:val="0"/>
          <w:numId w:val="5"/>
        </w:numPr>
        <w:spacing w:after="0" w:line="360" w:lineRule="auto"/>
        <w:ind w:left="0" w:firstLine="0"/>
        <w:jc w:val="both"/>
        <w:rPr>
          <w:rFonts w:cs="Arial"/>
          <w:b/>
          <w:bCs/>
          <w:sz w:val="22"/>
        </w:rPr>
      </w:pPr>
      <w:bookmarkStart w:id="5" w:name="_Toc450140977"/>
      <w:r w:rsidRPr="006A205C">
        <w:rPr>
          <w:rFonts w:cs="Arial"/>
          <w:b/>
          <w:bCs/>
          <w:sz w:val="22"/>
        </w:rPr>
        <w:t>Conflito de Interesses</w:t>
      </w:r>
      <w:bookmarkEnd w:id="5"/>
    </w:p>
    <w:p w14:paraId="6618B3A3" w14:textId="77777777" w:rsidR="006A66CD" w:rsidRDefault="006A66CD" w:rsidP="006A66CD">
      <w:pPr>
        <w:spacing w:after="0" w:line="360" w:lineRule="auto"/>
        <w:jc w:val="both"/>
        <w:rPr>
          <w:rFonts w:cs="Arial"/>
          <w:sz w:val="22"/>
        </w:rPr>
      </w:pPr>
    </w:p>
    <w:p w14:paraId="7C0C5557" w14:textId="601BEDD0" w:rsidR="00FB672C" w:rsidRPr="006A66CD" w:rsidRDefault="00FB672C" w:rsidP="006A66CD">
      <w:pPr>
        <w:spacing w:after="0" w:line="360" w:lineRule="auto"/>
        <w:jc w:val="both"/>
        <w:rPr>
          <w:rFonts w:cs="Arial"/>
          <w:sz w:val="22"/>
        </w:rPr>
      </w:pPr>
      <w:r w:rsidRPr="006A66CD">
        <w:rPr>
          <w:rFonts w:cs="Arial"/>
          <w:sz w:val="22"/>
        </w:rPr>
        <w:t xml:space="preserve">As situações de conflito de interesses, potenciais ou efetivos, entre os interesses pessoais dos Colaboradores e os interesses da </w:t>
      </w:r>
      <w:r w:rsidR="00F805E9">
        <w:rPr>
          <w:rFonts w:cs="Arial"/>
          <w:sz w:val="22"/>
        </w:rPr>
        <w:t>REAG Securities</w:t>
      </w:r>
      <w:r w:rsidRPr="006A66CD">
        <w:rPr>
          <w:rFonts w:cs="Arial"/>
          <w:sz w:val="22"/>
        </w:rPr>
        <w:t xml:space="preserve"> devem ser evitadas. </w:t>
      </w:r>
    </w:p>
    <w:p w14:paraId="74476E64" w14:textId="77777777" w:rsidR="006A66CD" w:rsidRDefault="006A66CD" w:rsidP="006A66CD">
      <w:pPr>
        <w:spacing w:after="0" w:line="360" w:lineRule="auto"/>
        <w:jc w:val="both"/>
        <w:rPr>
          <w:rFonts w:cs="Arial"/>
          <w:sz w:val="22"/>
        </w:rPr>
      </w:pPr>
    </w:p>
    <w:p w14:paraId="3CD9D3C6" w14:textId="4F329422" w:rsidR="00FB672C" w:rsidRPr="006A66CD" w:rsidRDefault="00FB672C" w:rsidP="006A66CD">
      <w:pPr>
        <w:spacing w:after="0" w:line="360" w:lineRule="auto"/>
        <w:jc w:val="both"/>
        <w:rPr>
          <w:rFonts w:cs="Arial"/>
          <w:sz w:val="22"/>
        </w:rPr>
      </w:pPr>
      <w:r w:rsidRPr="006A66CD">
        <w:rPr>
          <w:rFonts w:cs="Arial"/>
          <w:sz w:val="22"/>
        </w:rPr>
        <w:t>Para fins deste Códig</w:t>
      </w:r>
      <w:r w:rsidR="006F2C03" w:rsidRPr="006A66CD">
        <w:rPr>
          <w:rFonts w:cs="Arial"/>
          <w:sz w:val="22"/>
        </w:rPr>
        <w:t>o</w:t>
      </w:r>
      <w:r w:rsidRPr="006A66CD">
        <w:rPr>
          <w:rFonts w:cs="Arial"/>
          <w:sz w:val="22"/>
        </w:rPr>
        <w:t xml:space="preserve">, situação de potencial conflito de interesses significa qualquer situação em que haja a possível incompatibilidade entre o interesse pessoal do Colaborador e o interesse coletivo da </w:t>
      </w:r>
      <w:r w:rsidR="00F805E9">
        <w:rPr>
          <w:rFonts w:cs="Arial"/>
          <w:sz w:val="22"/>
        </w:rPr>
        <w:t>REAG Securities</w:t>
      </w:r>
      <w:r w:rsidR="007435F3">
        <w:rPr>
          <w:rFonts w:cs="Arial"/>
          <w:sz w:val="22"/>
        </w:rPr>
        <w:t xml:space="preserve"> ou do </w:t>
      </w:r>
      <w:r w:rsidR="000E3B77">
        <w:rPr>
          <w:rFonts w:cs="Arial"/>
          <w:sz w:val="22"/>
        </w:rPr>
        <w:t>cliente</w:t>
      </w:r>
      <w:r w:rsidRPr="006A66CD">
        <w:rPr>
          <w:rFonts w:cs="Arial"/>
          <w:sz w:val="22"/>
        </w:rPr>
        <w:t xml:space="preserve">, de modo que a atuação do Colaborador nesta situação possa comprometer ou influenciar, de maneira imprópria, o desempenho da sociedade. </w:t>
      </w:r>
    </w:p>
    <w:p w14:paraId="34782EBE" w14:textId="77777777" w:rsidR="006A66CD" w:rsidRDefault="006A66CD" w:rsidP="006A66CD">
      <w:pPr>
        <w:spacing w:after="0" w:line="360" w:lineRule="auto"/>
        <w:jc w:val="both"/>
        <w:rPr>
          <w:rFonts w:cs="Arial"/>
          <w:sz w:val="22"/>
        </w:rPr>
      </w:pPr>
    </w:p>
    <w:p w14:paraId="4D6D8A08" w14:textId="2723AE5D" w:rsidR="00FB672C" w:rsidRPr="006A66CD" w:rsidRDefault="00FB672C" w:rsidP="006A66CD">
      <w:pPr>
        <w:spacing w:after="0" w:line="360" w:lineRule="auto"/>
        <w:jc w:val="both"/>
        <w:rPr>
          <w:rFonts w:cs="Arial"/>
          <w:sz w:val="22"/>
        </w:rPr>
      </w:pPr>
      <w:r w:rsidRPr="006A66CD">
        <w:rPr>
          <w:rFonts w:cs="Arial"/>
          <w:sz w:val="22"/>
        </w:rPr>
        <w:lastRenderedPageBreak/>
        <w:t xml:space="preserve">Tais situações podem ser verificadas em atividades, condutas e </w:t>
      </w:r>
      <w:r w:rsidR="005A7C51" w:rsidRPr="006A66CD">
        <w:rPr>
          <w:rFonts w:cs="Arial"/>
          <w:sz w:val="22"/>
        </w:rPr>
        <w:t>operações</w:t>
      </w:r>
      <w:r w:rsidRPr="006A66CD">
        <w:rPr>
          <w:rFonts w:cs="Arial"/>
          <w:sz w:val="22"/>
        </w:rPr>
        <w:t xml:space="preserve"> realizad</w:t>
      </w:r>
      <w:r w:rsidR="005A7C51" w:rsidRPr="006A66CD">
        <w:rPr>
          <w:rFonts w:cs="Arial"/>
          <w:sz w:val="22"/>
        </w:rPr>
        <w:t>a</w:t>
      </w:r>
      <w:r w:rsidRPr="006A66CD">
        <w:rPr>
          <w:rFonts w:cs="Arial"/>
          <w:sz w:val="22"/>
        </w:rPr>
        <w:t>s pelo Colaborador que poderiam (a) ser contrári</w:t>
      </w:r>
      <w:r w:rsidR="00C16E22">
        <w:rPr>
          <w:rFonts w:cs="Arial"/>
          <w:sz w:val="22"/>
        </w:rPr>
        <w:t>a</w:t>
      </w:r>
      <w:r w:rsidRPr="006A66CD">
        <w:rPr>
          <w:rFonts w:cs="Arial"/>
          <w:sz w:val="22"/>
        </w:rPr>
        <w:t xml:space="preserve">s às atividades realizadas pela </w:t>
      </w:r>
      <w:r w:rsidR="00F805E9">
        <w:rPr>
          <w:rFonts w:cs="Arial"/>
          <w:sz w:val="22"/>
        </w:rPr>
        <w:t>REAG Securities</w:t>
      </w:r>
      <w:r w:rsidRPr="006A66CD">
        <w:rPr>
          <w:rFonts w:cs="Arial"/>
          <w:sz w:val="22"/>
        </w:rPr>
        <w:t xml:space="preserve">; ou (b) afetar adversamente o seu julgamento e desempenho nas atividades realizadas. </w:t>
      </w:r>
    </w:p>
    <w:p w14:paraId="586CE671" w14:textId="77777777" w:rsidR="006A66CD" w:rsidRDefault="006A66CD" w:rsidP="006A66CD">
      <w:pPr>
        <w:spacing w:after="0" w:line="360" w:lineRule="auto"/>
        <w:jc w:val="both"/>
        <w:rPr>
          <w:rFonts w:cs="Arial"/>
          <w:sz w:val="22"/>
        </w:rPr>
      </w:pPr>
    </w:p>
    <w:p w14:paraId="240C1147" w14:textId="594F7D5C" w:rsidR="00FB672C" w:rsidRPr="006A66CD" w:rsidRDefault="00FB672C" w:rsidP="006A66CD">
      <w:pPr>
        <w:spacing w:after="0" w:line="360" w:lineRule="auto"/>
        <w:jc w:val="both"/>
        <w:rPr>
          <w:rFonts w:cs="Arial"/>
          <w:sz w:val="22"/>
        </w:rPr>
      </w:pPr>
      <w:r w:rsidRPr="006A66CD">
        <w:rPr>
          <w:rFonts w:cs="Arial"/>
          <w:sz w:val="22"/>
        </w:rPr>
        <w:t xml:space="preserve">Os Colaboradores devem exercer um julgamento sólido antes de se comprometerem em qualquer atividade ou participarem de qualquer negociação que possa potencialmente acarretar um conflito de interesses com a </w:t>
      </w:r>
      <w:r w:rsidR="00F805E9">
        <w:rPr>
          <w:rFonts w:cs="Arial"/>
          <w:sz w:val="22"/>
        </w:rPr>
        <w:t>REAG Securities</w:t>
      </w:r>
      <w:r w:rsidR="005A7C51" w:rsidRPr="006A66CD">
        <w:rPr>
          <w:rFonts w:cs="Arial"/>
          <w:sz w:val="22"/>
        </w:rPr>
        <w:t>.</w:t>
      </w:r>
    </w:p>
    <w:p w14:paraId="4E1C04AC" w14:textId="77777777" w:rsidR="006A66CD" w:rsidRDefault="006A66CD" w:rsidP="006A66CD">
      <w:pPr>
        <w:spacing w:after="0" w:line="360" w:lineRule="auto"/>
        <w:jc w:val="both"/>
        <w:rPr>
          <w:rFonts w:cs="Arial"/>
          <w:sz w:val="22"/>
        </w:rPr>
      </w:pPr>
    </w:p>
    <w:p w14:paraId="513F7D2F" w14:textId="64D157A3" w:rsidR="00FB672C" w:rsidRPr="006A66CD" w:rsidRDefault="00FB672C" w:rsidP="006A66CD">
      <w:pPr>
        <w:spacing w:after="0" w:line="360" w:lineRule="auto"/>
        <w:jc w:val="both"/>
        <w:rPr>
          <w:rFonts w:cs="Arial"/>
          <w:sz w:val="22"/>
        </w:rPr>
      </w:pPr>
      <w:r w:rsidRPr="006A66CD">
        <w:rPr>
          <w:rFonts w:cs="Arial"/>
          <w:sz w:val="22"/>
        </w:rPr>
        <w:t xml:space="preserve">Tendo isso em vista, os Colaboradores deverão: </w:t>
      </w:r>
    </w:p>
    <w:p w14:paraId="4B8A27A2" w14:textId="661634E7" w:rsidR="00DB28D3" w:rsidRPr="006A66CD" w:rsidRDefault="00DB28D3" w:rsidP="006A66CD">
      <w:pPr>
        <w:spacing w:after="0" w:line="360" w:lineRule="auto"/>
        <w:ind w:left="708"/>
        <w:jc w:val="both"/>
        <w:rPr>
          <w:rFonts w:cs="Arial"/>
          <w:sz w:val="22"/>
        </w:rPr>
      </w:pPr>
      <w:r w:rsidRPr="006A66CD">
        <w:rPr>
          <w:rFonts w:cs="Arial"/>
          <w:sz w:val="22"/>
        </w:rPr>
        <w:t xml:space="preserve">(i) </w:t>
      </w:r>
      <w:r w:rsidR="009A5419" w:rsidRPr="006A66CD">
        <w:rPr>
          <w:rFonts w:cs="Arial"/>
          <w:sz w:val="22"/>
        </w:rPr>
        <w:t xml:space="preserve">abster-se de agir em nome da </w:t>
      </w:r>
      <w:r w:rsidR="00F805E9">
        <w:rPr>
          <w:rFonts w:cs="Arial"/>
          <w:sz w:val="22"/>
        </w:rPr>
        <w:t>REAG Securities</w:t>
      </w:r>
      <w:r w:rsidR="009A5419" w:rsidRPr="006A66CD">
        <w:rPr>
          <w:rFonts w:cs="Arial"/>
          <w:sz w:val="22"/>
        </w:rPr>
        <w:t xml:space="preserve"> em qualquer </w:t>
      </w:r>
      <w:r w:rsidR="00841BC6" w:rsidRPr="006A66CD">
        <w:rPr>
          <w:rFonts w:cs="Arial"/>
          <w:sz w:val="22"/>
        </w:rPr>
        <w:t>operação</w:t>
      </w:r>
      <w:r w:rsidR="009A5419" w:rsidRPr="006A66CD">
        <w:rPr>
          <w:rFonts w:cs="Arial"/>
          <w:sz w:val="22"/>
        </w:rPr>
        <w:t xml:space="preserve"> que envolva pessoas ou sociedades com as quais tenham qualquer interesse financeiro;</w:t>
      </w:r>
    </w:p>
    <w:p w14:paraId="52F7D52A" w14:textId="0B2F0F2E" w:rsidR="0076234F" w:rsidRPr="006A66CD" w:rsidRDefault="009A5419" w:rsidP="006A66CD">
      <w:pPr>
        <w:spacing w:after="0" w:line="360" w:lineRule="auto"/>
        <w:ind w:left="708"/>
        <w:jc w:val="both"/>
        <w:rPr>
          <w:rFonts w:cs="Arial"/>
          <w:sz w:val="22"/>
        </w:rPr>
      </w:pPr>
      <w:r w:rsidRPr="006A66CD">
        <w:rPr>
          <w:rFonts w:cs="Arial"/>
          <w:sz w:val="22"/>
        </w:rPr>
        <w:t xml:space="preserve">(ii) </w:t>
      </w:r>
      <w:r w:rsidR="00FB672C" w:rsidRPr="006A66CD">
        <w:rPr>
          <w:rFonts w:cs="Arial"/>
          <w:sz w:val="22"/>
        </w:rPr>
        <w:t xml:space="preserve">abster-se de usar, em benefício próprio ou de outrem, com ou sem prejuízo à </w:t>
      </w:r>
      <w:r w:rsidR="00F805E9">
        <w:rPr>
          <w:rFonts w:cs="Arial"/>
          <w:sz w:val="22"/>
        </w:rPr>
        <w:t>REAG Securities</w:t>
      </w:r>
      <w:r w:rsidR="00FB672C" w:rsidRPr="006A66CD">
        <w:rPr>
          <w:rFonts w:cs="Arial"/>
          <w:sz w:val="22"/>
        </w:rPr>
        <w:t xml:space="preserve">, oportunidades de negócios de que tenha conhecimento em razão do exercício do seu cargo na sociedade, sendo estritamente proibido privar a </w:t>
      </w:r>
      <w:r w:rsidR="00F805E9">
        <w:rPr>
          <w:rFonts w:cs="Arial"/>
          <w:sz w:val="22"/>
        </w:rPr>
        <w:t>REAG Securities</w:t>
      </w:r>
      <w:r w:rsidR="00FB672C" w:rsidRPr="006A66CD">
        <w:rPr>
          <w:rFonts w:cs="Arial"/>
          <w:sz w:val="22"/>
        </w:rPr>
        <w:t xml:space="preserve"> de qualquer oportunidade relacionada aos seus negócios de que tenha conhecimento; e</w:t>
      </w:r>
    </w:p>
    <w:p w14:paraId="54F4A91D" w14:textId="124DC39E" w:rsidR="00FB672C" w:rsidRPr="006A66CD" w:rsidRDefault="0076234F" w:rsidP="006A66CD">
      <w:pPr>
        <w:spacing w:after="0" w:line="360" w:lineRule="auto"/>
        <w:ind w:left="708"/>
        <w:jc w:val="both"/>
        <w:rPr>
          <w:rFonts w:cs="Arial"/>
          <w:sz w:val="22"/>
        </w:rPr>
      </w:pPr>
      <w:r w:rsidRPr="006A66CD">
        <w:rPr>
          <w:rFonts w:cs="Arial"/>
          <w:sz w:val="22"/>
        </w:rPr>
        <w:t xml:space="preserve">(iii) </w:t>
      </w:r>
      <w:r w:rsidR="00FB672C" w:rsidRPr="006A66CD">
        <w:rPr>
          <w:rFonts w:cs="Arial"/>
          <w:sz w:val="22"/>
        </w:rPr>
        <w:t xml:space="preserve">evitar situações de defesa de interesses de terceiros que possam gerar conflito de interesses na hora da tomada de decisão e implicar em algum tipo de prejuízo à </w:t>
      </w:r>
      <w:r w:rsidR="00F805E9">
        <w:rPr>
          <w:rFonts w:cs="Arial"/>
          <w:sz w:val="22"/>
        </w:rPr>
        <w:t>REAG Securities</w:t>
      </w:r>
      <w:r w:rsidR="00FB672C" w:rsidRPr="006A66CD">
        <w:rPr>
          <w:rFonts w:cs="Arial"/>
          <w:sz w:val="22"/>
        </w:rPr>
        <w:t xml:space="preserve"> ou aos seus clientes. </w:t>
      </w:r>
    </w:p>
    <w:p w14:paraId="1296538E" w14:textId="77777777" w:rsidR="006A66CD" w:rsidRDefault="006A66CD" w:rsidP="006A66CD">
      <w:pPr>
        <w:spacing w:after="0" w:line="360" w:lineRule="auto"/>
        <w:jc w:val="both"/>
        <w:rPr>
          <w:rFonts w:cs="Arial"/>
          <w:sz w:val="22"/>
        </w:rPr>
      </w:pPr>
    </w:p>
    <w:p w14:paraId="204B48A8" w14:textId="0BD1AE1C" w:rsidR="00D17553" w:rsidRPr="006A66CD" w:rsidRDefault="00D17553" w:rsidP="006A66CD">
      <w:pPr>
        <w:spacing w:after="0" w:line="360" w:lineRule="auto"/>
        <w:jc w:val="both"/>
        <w:rPr>
          <w:rFonts w:cs="Arial"/>
          <w:sz w:val="22"/>
        </w:rPr>
      </w:pPr>
      <w:r w:rsidRPr="006A66CD">
        <w:rPr>
          <w:rFonts w:cs="Arial"/>
          <w:sz w:val="22"/>
        </w:rPr>
        <w:t xml:space="preserve">A </w:t>
      </w:r>
      <w:r w:rsidR="00F805E9">
        <w:rPr>
          <w:rFonts w:cs="Arial"/>
          <w:sz w:val="22"/>
        </w:rPr>
        <w:t>REAG Securities</w:t>
      </w:r>
      <w:r w:rsidRPr="006A66CD">
        <w:rPr>
          <w:rFonts w:cs="Arial"/>
          <w:sz w:val="22"/>
        </w:rPr>
        <w:t xml:space="preserve"> deve manter suas atividades de securitização segregadas das atividades exercidas pelas demais pessoas jurídicas do seu grupo econômico com as quais haja potencial conflito de interesses, sem prejuízo da possibilidade de compartilhamento de recursos.</w:t>
      </w:r>
    </w:p>
    <w:p w14:paraId="4908B2CC" w14:textId="77777777" w:rsidR="00FB672C" w:rsidRPr="006A66CD" w:rsidRDefault="00FB672C" w:rsidP="006A66CD">
      <w:pPr>
        <w:spacing w:after="0" w:line="360" w:lineRule="auto"/>
        <w:jc w:val="both"/>
        <w:rPr>
          <w:rFonts w:cs="Arial"/>
          <w:sz w:val="22"/>
        </w:rPr>
      </w:pPr>
    </w:p>
    <w:p w14:paraId="6DC02036" w14:textId="3C0C7B5B" w:rsidR="00FB672C" w:rsidRPr="00650EF6" w:rsidRDefault="00FB672C" w:rsidP="006A66CD">
      <w:pPr>
        <w:pStyle w:val="PargrafodaLista"/>
        <w:numPr>
          <w:ilvl w:val="0"/>
          <w:numId w:val="5"/>
        </w:numPr>
        <w:spacing w:after="0" w:line="360" w:lineRule="auto"/>
        <w:ind w:left="0" w:firstLine="0"/>
        <w:jc w:val="both"/>
        <w:rPr>
          <w:rFonts w:cs="Arial"/>
          <w:b/>
          <w:bCs/>
          <w:sz w:val="22"/>
        </w:rPr>
      </w:pPr>
      <w:bookmarkStart w:id="6" w:name="_Toc450140978"/>
      <w:r w:rsidRPr="00650EF6">
        <w:rPr>
          <w:rFonts w:cs="Arial"/>
          <w:b/>
          <w:bCs/>
          <w:sz w:val="22"/>
        </w:rPr>
        <w:t>Benefícios</w:t>
      </w:r>
      <w:bookmarkEnd w:id="6"/>
    </w:p>
    <w:p w14:paraId="033F42BF" w14:textId="77777777" w:rsidR="006A66CD" w:rsidRDefault="006A66CD" w:rsidP="006A66CD">
      <w:pPr>
        <w:spacing w:after="0" w:line="360" w:lineRule="auto"/>
        <w:jc w:val="both"/>
        <w:rPr>
          <w:rFonts w:cs="Arial"/>
          <w:sz w:val="22"/>
        </w:rPr>
      </w:pPr>
    </w:p>
    <w:p w14:paraId="4B364D12" w14:textId="0C682B8C" w:rsidR="00FB672C" w:rsidRPr="006A66CD" w:rsidRDefault="00FB672C" w:rsidP="006A66CD">
      <w:pPr>
        <w:spacing w:after="0" w:line="360" w:lineRule="auto"/>
        <w:jc w:val="both"/>
        <w:rPr>
          <w:rFonts w:cs="Arial"/>
          <w:sz w:val="22"/>
        </w:rPr>
      </w:pPr>
      <w:r w:rsidRPr="006A66CD">
        <w:rPr>
          <w:rFonts w:cs="Arial"/>
          <w:sz w:val="22"/>
        </w:rPr>
        <w:t xml:space="preserve">Os Colaboradores não deverão aceitar, direta ou indiretamente, de qualquer pessoa ou entidade, compensação de qualquer natureza por negócio realizado no exercício de suas funções na </w:t>
      </w:r>
      <w:r w:rsidR="00F805E9">
        <w:rPr>
          <w:rFonts w:cs="Arial"/>
          <w:sz w:val="22"/>
        </w:rPr>
        <w:t>REAG Securities</w:t>
      </w:r>
      <w:r w:rsidRPr="006A66CD">
        <w:rPr>
          <w:rFonts w:cs="Arial"/>
          <w:sz w:val="22"/>
        </w:rPr>
        <w:t>. Entende-se como compensação, para fins deste Código, os benefícios conferidos por meio de bônus, comissão ou qualquer outra recompensa financeira.</w:t>
      </w:r>
      <w:r w:rsidR="00531585" w:rsidRPr="006A66CD">
        <w:rPr>
          <w:rFonts w:cs="Arial"/>
          <w:sz w:val="22"/>
        </w:rPr>
        <w:t xml:space="preserve"> </w:t>
      </w:r>
    </w:p>
    <w:p w14:paraId="18461D08" w14:textId="77777777" w:rsidR="006A66CD" w:rsidRDefault="006A66CD" w:rsidP="006A66CD">
      <w:pPr>
        <w:spacing w:after="0" w:line="360" w:lineRule="auto"/>
        <w:jc w:val="both"/>
        <w:rPr>
          <w:rFonts w:cs="Arial"/>
          <w:sz w:val="22"/>
        </w:rPr>
      </w:pPr>
    </w:p>
    <w:p w14:paraId="7D378A78" w14:textId="59A24A1F" w:rsidR="00FB672C" w:rsidRPr="006A66CD" w:rsidRDefault="00FB672C" w:rsidP="006A66CD">
      <w:pPr>
        <w:spacing w:after="0" w:line="360" w:lineRule="auto"/>
        <w:jc w:val="both"/>
        <w:rPr>
          <w:rFonts w:cs="Arial"/>
          <w:sz w:val="22"/>
        </w:rPr>
      </w:pPr>
      <w:r w:rsidRPr="006A66CD">
        <w:rPr>
          <w:rFonts w:cs="Arial"/>
          <w:sz w:val="22"/>
        </w:rPr>
        <w:t xml:space="preserve">Os Colaboradores não poderão aceitar presentes que possam comprometer a independência de suas funções na </w:t>
      </w:r>
      <w:r w:rsidR="00F805E9">
        <w:rPr>
          <w:rFonts w:cs="Arial"/>
          <w:sz w:val="22"/>
        </w:rPr>
        <w:t>REAG Securities</w:t>
      </w:r>
      <w:r w:rsidRPr="006A66CD">
        <w:rPr>
          <w:rFonts w:cs="Arial"/>
          <w:sz w:val="22"/>
        </w:rPr>
        <w:t xml:space="preserve">. Qualquer dúvida acerca da aceitação ou não de presentes deverá ser encaminhada </w:t>
      </w:r>
      <w:r w:rsidR="00DE4C4B" w:rsidRPr="006A66CD">
        <w:rPr>
          <w:rFonts w:cs="Arial"/>
          <w:sz w:val="22"/>
        </w:rPr>
        <w:t>ao</w:t>
      </w:r>
      <w:r w:rsidRPr="006A66CD">
        <w:rPr>
          <w:rFonts w:cs="Arial"/>
          <w:sz w:val="22"/>
        </w:rPr>
        <w:t xml:space="preserve"> Diretor de Compliance. Do mesmo modo, </w:t>
      </w:r>
      <w:r w:rsidR="00BE7687" w:rsidRPr="006A66CD">
        <w:rPr>
          <w:rFonts w:cs="Arial"/>
          <w:sz w:val="22"/>
        </w:rPr>
        <w:t>o</w:t>
      </w:r>
      <w:r w:rsidRPr="006A66CD">
        <w:rPr>
          <w:rFonts w:cs="Arial"/>
          <w:sz w:val="22"/>
        </w:rPr>
        <w:t xml:space="preserve"> Diretor de Compliance deverá analisar, se for o caso, a pertinência de presentes concedidos pela </w:t>
      </w:r>
      <w:r w:rsidR="00F805E9">
        <w:rPr>
          <w:rFonts w:cs="Arial"/>
          <w:sz w:val="22"/>
        </w:rPr>
        <w:t>REAG Securities</w:t>
      </w:r>
      <w:r w:rsidRPr="006A66CD">
        <w:rPr>
          <w:rFonts w:cs="Arial"/>
          <w:sz w:val="22"/>
        </w:rPr>
        <w:t xml:space="preserve"> aos seus clientes e fornecedores.</w:t>
      </w:r>
    </w:p>
    <w:p w14:paraId="792B8172" w14:textId="77777777" w:rsidR="006A66CD" w:rsidRDefault="006A66CD" w:rsidP="006A66CD">
      <w:pPr>
        <w:spacing w:after="0" w:line="360" w:lineRule="auto"/>
        <w:jc w:val="both"/>
        <w:rPr>
          <w:rFonts w:cs="Arial"/>
          <w:sz w:val="22"/>
        </w:rPr>
      </w:pPr>
    </w:p>
    <w:p w14:paraId="56F803BF" w14:textId="4C68822B" w:rsidR="00FB672C" w:rsidRPr="006A66CD" w:rsidRDefault="00FB672C" w:rsidP="006A66CD">
      <w:pPr>
        <w:spacing w:after="0" w:line="360" w:lineRule="auto"/>
        <w:jc w:val="both"/>
        <w:rPr>
          <w:rFonts w:cs="Arial"/>
          <w:sz w:val="22"/>
        </w:rPr>
      </w:pPr>
      <w:r w:rsidRPr="006A66CD">
        <w:rPr>
          <w:rFonts w:cs="Arial"/>
          <w:sz w:val="22"/>
        </w:rPr>
        <w:t xml:space="preserve">É estritamente proibido utilizar-se, tanto direta quanto indiretamente, de recursos financeiros ou propriedades da </w:t>
      </w:r>
      <w:r w:rsidR="00F805E9">
        <w:rPr>
          <w:rFonts w:cs="Arial"/>
          <w:sz w:val="22"/>
        </w:rPr>
        <w:t>REAG Securities</w:t>
      </w:r>
      <w:r w:rsidRPr="006A66CD">
        <w:rPr>
          <w:rFonts w:cs="Arial"/>
          <w:sz w:val="22"/>
        </w:rPr>
        <w:t xml:space="preserve"> para a prática de condutas ilegais ou indevidas.</w:t>
      </w:r>
    </w:p>
    <w:p w14:paraId="6B451859" w14:textId="77777777" w:rsidR="006A66CD" w:rsidRDefault="006A66CD" w:rsidP="006A66CD">
      <w:pPr>
        <w:spacing w:after="0" w:line="360" w:lineRule="auto"/>
        <w:jc w:val="both"/>
        <w:rPr>
          <w:rFonts w:cs="Arial"/>
          <w:sz w:val="22"/>
        </w:rPr>
      </w:pPr>
    </w:p>
    <w:p w14:paraId="58C797F5" w14:textId="66D7B1E6" w:rsidR="00FB672C" w:rsidRPr="006A66CD" w:rsidRDefault="00FB672C" w:rsidP="006A66CD">
      <w:pPr>
        <w:spacing w:after="0" w:line="360" w:lineRule="auto"/>
        <w:jc w:val="both"/>
        <w:rPr>
          <w:rFonts w:cs="Arial"/>
          <w:sz w:val="22"/>
        </w:rPr>
      </w:pPr>
      <w:r w:rsidRPr="006A66CD">
        <w:rPr>
          <w:rFonts w:cs="Arial"/>
          <w:sz w:val="22"/>
        </w:rPr>
        <w:t>Da mesma maneira, não deve ser pago</w:t>
      </w:r>
      <w:r w:rsidR="00D85D75" w:rsidRPr="006A66CD">
        <w:rPr>
          <w:rFonts w:cs="Arial"/>
          <w:sz w:val="22"/>
        </w:rPr>
        <w:t>,</w:t>
      </w:r>
      <w:r w:rsidRPr="006A66CD">
        <w:rPr>
          <w:rFonts w:cs="Arial"/>
          <w:sz w:val="22"/>
        </w:rPr>
        <w:t xml:space="preserve"> oferecido ou aceito suborno, comissão, promessa ou qualquer objeto de valor a qualquer pessoa física ou jurídica, para os fins de obter ou reter negócios, ou por qualquer outro motivo.</w:t>
      </w:r>
    </w:p>
    <w:p w14:paraId="06286EF5" w14:textId="77777777" w:rsidR="00AB0E39" w:rsidRPr="006A66CD" w:rsidRDefault="00AB0E39" w:rsidP="006A66CD">
      <w:pPr>
        <w:spacing w:after="0" w:line="360" w:lineRule="auto"/>
        <w:jc w:val="both"/>
        <w:rPr>
          <w:rFonts w:cs="Arial"/>
          <w:sz w:val="22"/>
        </w:rPr>
      </w:pPr>
      <w:bookmarkStart w:id="7" w:name="_Toc450141015"/>
    </w:p>
    <w:p w14:paraId="130F08FE" w14:textId="28AEB22F" w:rsidR="00BE04B9" w:rsidRPr="00487891" w:rsidRDefault="00BE04B9" w:rsidP="006A66CD">
      <w:pPr>
        <w:pStyle w:val="PargrafodaLista"/>
        <w:numPr>
          <w:ilvl w:val="0"/>
          <w:numId w:val="5"/>
        </w:numPr>
        <w:spacing w:after="0" w:line="360" w:lineRule="auto"/>
        <w:ind w:left="0" w:firstLine="0"/>
        <w:jc w:val="both"/>
        <w:rPr>
          <w:rFonts w:cs="Arial"/>
          <w:b/>
          <w:bCs/>
          <w:sz w:val="22"/>
        </w:rPr>
      </w:pPr>
      <w:r w:rsidRPr="00487891">
        <w:rPr>
          <w:rFonts w:cs="Arial"/>
          <w:b/>
          <w:bCs/>
          <w:sz w:val="22"/>
        </w:rPr>
        <w:t>Penalidades</w:t>
      </w:r>
      <w:bookmarkEnd w:id="7"/>
    </w:p>
    <w:p w14:paraId="288226FA" w14:textId="77777777" w:rsidR="006A66CD" w:rsidRDefault="006A66CD" w:rsidP="006A66CD">
      <w:pPr>
        <w:spacing w:after="0" w:line="360" w:lineRule="auto"/>
        <w:jc w:val="both"/>
        <w:rPr>
          <w:rFonts w:cs="Arial"/>
          <w:sz w:val="22"/>
        </w:rPr>
      </w:pPr>
    </w:p>
    <w:p w14:paraId="0EFC6282" w14:textId="39359D37" w:rsidR="00BE04B9" w:rsidRPr="006A66CD" w:rsidRDefault="00BE04B9" w:rsidP="006A66CD">
      <w:pPr>
        <w:spacing w:after="0" w:line="360" w:lineRule="auto"/>
        <w:jc w:val="both"/>
        <w:rPr>
          <w:rFonts w:cs="Arial"/>
          <w:sz w:val="22"/>
        </w:rPr>
      </w:pPr>
      <w:r w:rsidRPr="006A66CD">
        <w:rPr>
          <w:rFonts w:cs="Arial"/>
          <w:sz w:val="22"/>
        </w:rPr>
        <w:t xml:space="preserve">O descumprimento total ou parcial das regras contidas neste Código e na legislação vigente constitui violação dos padrões éticos, técnicos e operacionais, conforme o caso, que regem o funcionamento da </w:t>
      </w:r>
      <w:r w:rsidR="00F805E9">
        <w:rPr>
          <w:rFonts w:cs="Arial"/>
          <w:sz w:val="22"/>
        </w:rPr>
        <w:t>REAG Securities</w:t>
      </w:r>
      <w:r w:rsidRPr="006A66CD">
        <w:rPr>
          <w:rFonts w:cs="Arial"/>
          <w:sz w:val="22"/>
        </w:rPr>
        <w:t>.</w:t>
      </w:r>
    </w:p>
    <w:p w14:paraId="2D1BC9A9" w14:textId="77777777" w:rsidR="006A66CD" w:rsidRDefault="006A66CD" w:rsidP="006A66CD">
      <w:pPr>
        <w:spacing w:after="0" w:line="360" w:lineRule="auto"/>
        <w:jc w:val="both"/>
        <w:rPr>
          <w:rFonts w:cs="Arial"/>
          <w:sz w:val="22"/>
        </w:rPr>
      </w:pPr>
    </w:p>
    <w:p w14:paraId="75BED593" w14:textId="4814FA52" w:rsidR="00BE04B9" w:rsidRPr="006A66CD" w:rsidRDefault="00BE04B9" w:rsidP="006A66CD">
      <w:pPr>
        <w:spacing w:after="0" w:line="360" w:lineRule="auto"/>
        <w:jc w:val="both"/>
        <w:rPr>
          <w:rFonts w:cs="Arial"/>
          <w:sz w:val="22"/>
        </w:rPr>
      </w:pPr>
      <w:r w:rsidRPr="006A66CD">
        <w:rPr>
          <w:rFonts w:cs="Arial"/>
          <w:sz w:val="22"/>
        </w:rPr>
        <w:t>A verificação de descumprimento das normas contidas neste Código ensejará a aplicação de penalidades pel</w:t>
      </w:r>
      <w:r w:rsidR="00C73A03" w:rsidRPr="006A66CD">
        <w:rPr>
          <w:rFonts w:cs="Arial"/>
          <w:sz w:val="22"/>
        </w:rPr>
        <w:t>o</w:t>
      </w:r>
      <w:r w:rsidRPr="006A66CD">
        <w:rPr>
          <w:rFonts w:cs="Arial"/>
          <w:sz w:val="22"/>
        </w:rPr>
        <w:t xml:space="preserve"> Diretor de Compliance</w:t>
      </w:r>
      <w:r w:rsidR="008B4CC4">
        <w:rPr>
          <w:rFonts w:cs="Arial"/>
          <w:sz w:val="22"/>
        </w:rPr>
        <w:t xml:space="preserve">, que </w:t>
      </w:r>
      <w:r w:rsidRPr="006A66CD">
        <w:rPr>
          <w:rFonts w:cs="Arial"/>
          <w:sz w:val="22"/>
        </w:rPr>
        <w:t>podem variar</w:t>
      </w:r>
      <w:r w:rsidR="008B4CC4">
        <w:rPr>
          <w:rFonts w:cs="Arial"/>
          <w:sz w:val="22"/>
        </w:rPr>
        <w:t>, a depender da gravidade da infração,</w:t>
      </w:r>
      <w:r w:rsidRPr="006A66CD">
        <w:rPr>
          <w:rFonts w:cs="Arial"/>
          <w:sz w:val="22"/>
        </w:rPr>
        <w:t xml:space="preserve"> entre advertência, multa (em espécie ou </w:t>
      </w:r>
      <w:r w:rsidR="00F22EAB">
        <w:rPr>
          <w:rFonts w:cs="Arial"/>
          <w:sz w:val="22"/>
        </w:rPr>
        <w:t>na</w:t>
      </w:r>
      <w:r w:rsidR="00F22EAB" w:rsidRPr="006A66CD">
        <w:rPr>
          <w:rFonts w:cs="Arial"/>
          <w:sz w:val="22"/>
        </w:rPr>
        <w:t xml:space="preserve"> </w:t>
      </w:r>
      <w:r w:rsidRPr="006A66CD">
        <w:rPr>
          <w:rFonts w:cs="Arial"/>
          <w:sz w:val="22"/>
        </w:rPr>
        <w:t>perda direta de benefícios ou de pontos de avaliação para fins de remuneração variável), suspensão, destituição ou demissão por justa causa do Colaborador infrator sem prejuízo das demais consequências legais.</w:t>
      </w:r>
    </w:p>
    <w:p w14:paraId="07BB3AC4" w14:textId="77777777" w:rsidR="006A66CD" w:rsidRDefault="006A66CD" w:rsidP="006A66CD">
      <w:pPr>
        <w:spacing w:after="0" w:line="360" w:lineRule="auto"/>
        <w:jc w:val="both"/>
        <w:rPr>
          <w:rFonts w:cs="Arial"/>
          <w:sz w:val="22"/>
        </w:rPr>
      </w:pPr>
    </w:p>
    <w:p w14:paraId="6818356B" w14:textId="5B196243" w:rsidR="00BE04B9" w:rsidRPr="006A66CD" w:rsidRDefault="00BE04B9" w:rsidP="006A66CD">
      <w:pPr>
        <w:spacing w:after="0" w:line="360" w:lineRule="auto"/>
        <w:jc w:val="both"/>
        <w:rPr>
          <w:rFonts w:cs="Arial"/>
          <w:sz w:val="22"/>
        </w:rPr>
      </w:pPr>
      <w:r w:rsidRPr="006A66CD">
        <w:rPr>
          <w:rFonts w:cs="Arial"/>
          <w:sz w:val="22"/>
        </w:rPr>
        <w:t>As penalidades serão recomendadas pel</w:t>
      </w:r>
      <w:r w:rsidR="00C73A03" w:rsidRPr="006A66CD">
        <w:rPr>
          <w:rFonts w:cs="Arial"/>
          <w:sz w:val="22"/>
        </w:rPr>
        <w:t>o</w:t>
      </w:r>
      <w:r w:rsidRPr="006A66CD">
        <w:rPr>
          <w:rFonts w:cs="Arial"/>
          <w:sz w:val="22"/>
        </w:rPr>
        <w:t xml:space="preserve"> Diretor de Compliance, que levará em conta, entre outros fatores, a eventual comunicação espontânea que tenha sido feita pelo Colaborador infrator, a tempestividade e a utilidade, para a </w:t>
      </w:r>
      <w:r w:rsidR="00F805E9">
        <w:rPr>
          <w:rFonts w:cs="Arial"/>
          <w:sz w:val="22"/>
        </w:rPr>
        <w:t>REAG Securities</w:t>
      </w:r>
      <w:r w:rsidRPr="006A66CD">
        <w:rPr>
          <w:rFonts w:cs="Arial"/>
          <w:sz w:val="22"/>
        </w:rPr>
        <w:t>, da comunicação efetuada, e a disposição do Colaborador em cooperar quanto à adoção das medidas necessárias à mitigação dos efeitos do descumprimento, assim como a gravidade e a reincidência na violação.</w:t>
      </w:r>
    </w:p>
    <w:p w14:paraId="4A49F4BE" w14:textId="77777777" w:rsidR="006A66CD" w:rsidRDefault="006A66CD" w:rsidP="006A66CD">
      <w:pPr>
        <w:spacing w:after="0" w:line="360" w:lineRule="auto"/>
        <w:jc w:val="both"/>
        <w:rPr>
          <w:rFonts w:cs="Arial"/>
          <w:sz w:val="22"/>
        </w:rPr>
      </w:pPr>
    </w:p>
    <w:p w14:paraId="686AF434" w14:textId="1DA4C1BB" w:rsidR="00BE04B9" w:rsidRPr="006A66CD" w:rsidRDefault="00BE04B9" w:rsidP="006A66CD">
      <w:pPr>
        <w:spacing w:after="0" w:line="360" w:lineRule="auto"/>
        <w:jc w:val="both"/>
        <w:rPr>
          <w:rFonts w:cs="Arial"/>
          <w:sz w:val="22"/>
        </w:rPr>
      </w:pPr>
      <w:r w:rsidRPr="006A66CD">
        <w:rPr>
          <w:rFonts w:cs="Arial"/>
          <w:sz w:val="22"/>
        </w:rPr>
        <w:t xml:space="preserve">Os Colaboradores reconhecem o direito da </w:t>
      </w:r>
      <w:r w:rsidR="00F805E9">
        <w:rPr>
          <w:rFonts w:cs="Arial"/>
          <w:sz w:val="22"/>
        </w:rPr>
        <w:t>REAG Securities</w:t>
      </w:r>
      <w:r w:rsidRPr="006A66CD">
        <w:rPr>
          <w:rFonts w:cs="Arial"/>
          <w:sz w:val="22"/>
        </w:rPr>
        <w:t xml:space="preserve"> de exercer direito de regresso caso venha a ser responsabilizada, sofra prejuízo ou venha a arcar com ônus de qualquer espécie em decorrência de atos ilícitos ou infrações cometidas por seus Colaboradores no exercício de suas funções.</w:t>
      </w:r>
    </w:p>
    <w:p w14:paraId="14BC7A1E" w14:textId="77777777" w:rsidR="00C73A03" w:rsidRPr="006A66CD" w:rsidRDefault="00C73A03" w:rsidP="006A66CD">
      <w:pPr>
        <w:spacing w:after="0" w:line="360" w:lineRule="auto"/>
        <w:jc w:val="both"/>
        <w:rPr>
          <w:rFonts w:cs="Arial"/>
          <w:sz w:val="22"/>
        </w:rPr>
      </w:pPr>
      <w:bookmarkStart w:id="8" w:name="_Toc450140970"/>
    </w:p>
    <w:p w14:paraId="3A9D9540" w14:textId="79764680" w:rsidR="00486D45" w:rsidRPr="00581AB5" w:rsidRDefault="00486D45" w:rsidP="006A66CD">
      <w:pPr>
        <w:pStyle w:val="PargrafodaLista"/>
        <w:numPr>
          <w:ilvl w:val="0"/>
          <w:numId w:val="5"/>
        </w:numPr>
        <w:spacing w:after="0" w:line="360" w:lineRule="auto"/>
        <w:ind w:left="0" w:firstLine="0"/>
        <w:jc w:val="both"/>
        <w:rPr>
          <w:rFonts w:cs="Arial"/>
          <w:b/>
          <w:bCs/>
          <w:sz w:val="22"/>
        </w:rPr>
      </w:pPr>
      <w:r w:rsidRPr="00581AB5">
        <w:rPr>
          <w:rFonts w:cs="Arial"/>
          <w:b/>
          <w:bCs/>
          <w:sz w:val="22"/>
        </w:rPr>
        <w:t>Vigência</w:t>
      </w:r>
      <w:bookmarkEnd w:id="8"/>
      <w:r w:rsidRPr="00581AB5">
        <w:rPr>
          <w:rFonts w:cs="Arial"/>
          <w:b/>
          <w:bCs/>
          <w:sz w:val="22"/>
        </w:rPr>
        <w:t xml:space="preserve"> e Atualização</w:t>
      </w:r>
    </w:p>
    <w:p w14:paraId="17BBE97D" w14:textId="77777777" w:rsidR="006A66CD" w:rsidRDefault="006A66CD" w:rsidP="006A66CD">
      <w:pPr>
        <w:spacing w:after="0" w:line="360" w:lineRule="auto"/>
        <w:jc w:val="both"/>
        <w:rPr>
          <w:rFonts w:cs="Arial"/>
          <w:sz w:val="22"/>
        </w:rPr>
      </w:pPr>
    </w:p>
    <w:p w14:paraId="501F9DDC" w14:textId="204ED450" w:rsidR="00486D45" w:rsidRPr="006A66CD" w:rsidRDefault="00486D45" w:rsidP="006A66CD">
      <w:pPr>
        <w:spacing w:after="0" w:line="360" w:lineRule="auto"/>
        <w:jc w:val="both"/>
        <w:rPr>
          <w:rFonts w:cs="Arial"/>
          <w:bCs/>
          <w:sz w:val="22"/>
        </w:rPr>
      </w:pPr>
      <w:r w:rsidRPr="006A66CD">
        <w:rPr>
          <w:rFonts w:cs="Arial"/>
          <w:sz w:val="22"/>
        </w:rPr>
        <w:t xml:space="preserve">O presente Código entrará em vigor em </w:t>
      </w:r>
      <w:r w:rsidR="0082550F">
        <w:rPr>
          <w:rFonts w:cs="Arial"/>
          <w:sz w:val="22"/>
        </w:rPr>
        <w:t>outubro de 2022</w:t>
      </w:r>
      <w:r w:rsidR="0082550F" w:rsidRPr="006A66CD">
        <w:rPr>
          <w:rFonts w:cs="Arial"/>
          <w:sz w:val="22"/>
        </w:rPr>
        <w:t xml:space="preserve"> </w:t>
      </w:r>
      <w:r w:rsidRPr="006A66CD">
        <w:rPr>
          <w:rFonts w:cs="Arial"/>
          <w:sz w:val="22"/>
        </w:rPr>
        <w:t xml:space="preserve">e vigorará por prazo indeterminado. Este Código deverá ser revisado anualmente e poderá, ainda, ser alterado </w:t>
      </w:r>
      <w:r w:rsidRPr="006A66CD">
        <w:rPr>
          <w:rFonts w:cs="Arial"/>
          <w:bCs/>
          <w:sz w:val="22"/>
        </w:rPr>
        <w:t>a qualquer tempo em razão de circunstâncias que demandem tal providência.</w:t>
      </w:r>
    </w:p>
    <w:p w14:paraId="6A27553E" w14:textId="6EDC03BB" w:rsidR="00EA109A" w:rsidRPr="006A66CD" w:rsidRDefault="00EA109A" w:rsidP="006A66CD">
      <w:pPr>
        <w:spacing w:after="0" w:line="360" w:lineRule="auto"/>
        <w:rPr>
          <w:rFonts w:cs="Arial"/>
          <w:sz w:val="22"/>
        </w:rPr>
      </w:pPr>
    </w:p>
    <w:p w14:paraId="5EC8836D" w14:textId="77777777" w:rsidR="00C73A03" w:rsidRPr="006A66CD" w:rsidRDefault="00C73A03" w:rsidP="006A66CD">
      <w:pPr>
        <w:spacing w:after="0" w:line="360" w:lineRule="auto"/>
        <w:rPr>
          <w:rFonts w:cs="Arial"/>
          <w:sz w:val="22"/>
        </w:rPr>
      </w:pPr>
    </w:p>
    <w:p w14:paraId="7F9771A7" w14:textId="77777777" w:rsidR="00C73A03" w:rsidRPr="006A66CD" w:rsidRDefault="00C73A03" w:rsidP="006A66CD">
      <w:pPr>
        <w:spacing w:after="0" w:line="360" w:lineRule="auto"/>
        <w:rPr>
          <w:rFonts w:cs="Arial"/>
          <w:sz w:val="22"/>
        </w:rPr>
      </w:pPr>
    </w:p>
    <w:sectPr w:rsidR="00C73A03" w:rsidRPr="006A66CD">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D621" w14:textId="77777777" w:rsidR="005831DC" w:rsidRDefault="005831DC" w:rsidP="001F4A3D">
      <w:pPr>
        <w:spacing w:after="0" w:line="240" w:lineRule="auto"/>
      </w:pPr>
      <w:r>
        <w:separator/>
      </w:r>
    </w:p>
  </w:endnote>
  <w:endnote w:type="continuationSeparator" w:id="0">
    <w:p w14:paraId="1E581E7A" w14:textId="77777777" w:rsidR="005831DC" w:rsidRDefault="005831DC" w:rsidP="001F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33921"/>
      <w:docPartObj>
        <w:docPartGallery w:val="Page Numbers (Bottom of Page)"/>
        <w:docPartUnique/>
      </w:docPartObj>
    </w:sdtPr>
    <w:sdtEndPr>
      <w:rPr>
        <w:sz w:val="18"/>
      </w:rPr>
    </w:sdtEndPr>
    <w:sdtContent>
      <w:p w14:paraId="38B5BEC7" w14:textId="666DBB53" w:rsidR="001F4A3D" w:rsidRPr="00BB6FDE" w:rsidRDefault="001F4A3D">
        <w:pPr>
          <w:pStyle w:val="Rodap"/>
          <w:jc w:val="right"/>
          <w:rPr>
            <w:sz w:val="18"/>
          </w:rPr>
        </w:pPr>
        <w:r w:rsidRPr="00BB6FDE">
          <w:rPr>
            <w:sz w:val="18"/>
          </w:rPr>
          <w:fldChar w:fldCharType="begin"/>
        </w:r>
        <w:r w:rsidRPr="00BB6FDE">
          <w:rPr>
            <w:sz w:val="18"/>
          </w:rPr>
          <w:instrText>PAGE   \* MERGEFORMAT</w:instrText>
        </w:r>
        <w:r w:rsidRPr="00BB6FDE">
          <w:rPr>
            <w:sz w:val="18"/>
          </w:rPr>
          <w:fldChar w:fldCharType="separate"/>
        </w:r>
        <w:r w:rsidR="008604F6">
          <w:rPr>
            <w:noProof/>
            <w:sz w:val="18"/>
          </w:rPr>
          <w:t>2</w:t>
        </w:r>
        <w:r w:rsidRPr="00BB6FDE">
          <w:rPr>
            <w:sz w:val="18"/>
          </w:rPr>
          <w:fldChar w:fldCharType="end"/>
        </w:r>
      </w:p>
    </w:sdtContent>
  </w:sdt>
  <w:p w14:paraId="5B0A6A5F" w14:textId="29CE8C40" w:rsidR="001F4A3D" w:rsidRPr="0026451F" w:rsidRDefault="000823B1">
    <w:pPr>
      <w:pStyle w:val="Rodap"/>
      <w:rPr>
        <w:i/>
        <w:iCs/>
        <w:sz w:val="18"/>
        <w:szCs w:val="16"/>
      </w:rPr>
    </w:pPr>
    <w:r w:rsidRPr="0026451F">
      <w:rPr>
        <w:i/>
        <w:iCs/>
        <w:sz w:val="18"/>
        <w:szCs w:val="16"/>
      </w:rPr>
      <w:t>Alameda Rio Negro, nº 1030, escritório 206, Condomínio Stadium, Bairro Alphaville, Centro Industrial e Empresarial, Cidade de Barueri, Estado de São Paulo, CEP 06454-000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2EBD" w14:textId="77777777" w:rsidR="005831DC" w:rsidRDefault="005831DC" w:rsidP="001F4A3D">
      <w:pPr>
        <w:spacing w:after="0" w:line="240" w:lineRule="auto"/>
      </w:pPr>
      <w:r>
        <w:separator/>
      </w:r>
    </w:p>
  </w:footnote>
  <w:footnote w:type="continuationSeparator" w:id="0">
    <w:p w14:paraId="710D8D11" w14:textId="77777777" w:rsidR="005831DC" w:rsidRDefault="005831DC" w:rsidP="001F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36DA" w14:textId="6D6CED18" w:rsidR="00076B2C" w:rsidRDefault="000823B1">
    <w:pPr>
      <w:pStyle w:val="Cabealho"/>
    </w:pPr>
    <w:r>
      <w:rPr>
        <w:noProof/>
      </w:rPr>
      <w:drawing>
        <wp:anchor distT="0" distB="0" distL="114300" distR="114300" simplePos="0" relativeHeight="251660288" behindDoc="1" locked="0" layoutInCell="1" allowOverlap="1" wp14:anchorId="09A9A781" wp14:editId="48B1F446">
          <wp:simplePos x="0" y="0"/>
          <wp:positionH relativeFrom="column">
            <wp:posOffset>-441007</wp:posOffset>
          </wp:positionH>
          <wp:positionV relativeFrom="paragraph">
            <wp:posOffset>-120650</wp:posOffset>
          </wp:positionV>
          <wp:extent cx="1605600" cy="455398"/>
          <wp:effectExtent l="0" t="0" r="0" b="1905"/>
          <wp:wrapNone/>
          <wp:docPr id="1154948268" name="Imagem 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48268" name="Imagem 1"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05600" cy="4553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75pt;height:198.75pt" o:bullet="t">
        <v:imagedata r:id="rId1" o:title=""/>
      </v:shape>
    </w:pict>
  </w:numPicBullet>
  <w:abstractNum w:abstractNumId="0" w15:restartNumberingAfterBreak="0">
    <w:nsid w:val="19FA46B6"/>
    <w:multiLevelType w:val="multilevel"/>
    <w:tmpl w:val="598A98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7D0E9C"/>
    <w:multiLevelType w:val="hybridMultilevel"/>
    <w:tmpl w:val="E1C04886"/>
    <w:lvl w:ilvl="0" w:tplc="EF50522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811879"/>
    <w:multiLevelType w:val="hybridMultilevel"/>
    <w:tmpl w:val="AF4EF118"/>
    <w:lvl w:ilvl="0" w:tplc="7088A8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A749D1"/>
    <w:multiLevelType w:val="hybridMultilevel"/>
    <w:tmpl w:val="7BF280C0"/>
    <w:lvl w:ilvl="0" w:tplc="ADE233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4C393F"/>
    <w:multiLevelType w:val="multilevel"/>
    <w:tmpl w:val="67440C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D567755"/>
    <w:multiLevelType w:val="hybridMultilevel"/>
    <w:tmpl w:val="8766BA58"/>
    <w:lvl w:ilvl="0" w:tplc="503EE786">
      <w:start w:val="1"/>
      <w:numFmt w:val="bullet"/>
      <w:pStyle w:val="EstiloLatimCandaraJustificadoDepoisde0ptEspaamentoe"/>
      <w:lvlText w:val=""/>
      <w:lvlPicBulletId w:val="0"/>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AA57D2"/>
    <w:multiLevelType w:val="multilevel"/>
    <w:tmpl w:val="AC98B312"/>
    <w:lvl w:ilvl="0">
      <w:start w:val="2"/>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CB550C"/>
    <w:multiLevelType w:val="hybridMultilevel"/>
    <w:tmpl w:val="DF2663C0"/>
    <w:lvl w:ilvl="0" w:tplc="CF00BD48">
      <w:start w:val="1"/>
      <w:numFmt w:val="lowerLetter"/>
      <w:lvlText w:val="%1)"/>
      <w:lvlJc w:val="left"/>
      <w:pPr>
        <w:ind w:left="106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56867718">
    <w:abstractNumId w:val="7"/>
  </w:num>
  <w:num w:numId="2" w16cid:durableId="1560441166">
    <w:abstractNumId w:val="0"/>
  </w:num>
  <w:num w:numId="3" w16cid:durableId="1127969967">
    <w:abstractNumId w:val="5"/>
  </w:num>
  <w:num w:numId="4" w16cid:durableId="1164321509">
    <w:abstractNumId w:val="6"/>
  </w:num>
  <w:num w:numId="5" w16cid:durableId="550962050">
    <w:abstractNumId w:val="4"/>
  </w:num>
  <w:num w:numId="6" w16cid:durableId="74522581">
    <w:abstractNumId w:val="3"/>
  </w:num>
  <w:num w:numId="7" w16cid:durableId="474563888">
    <w:abstractNumId w:val="1"/>
  </w:num>
  <w:num w:numId="8" w16cid:durableId="538590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2C"/>
    <w:rsid w:val="000018C5"/>
    <w:rsid w:val="00006066"/>
    <w:rsid w:val="00021B07"/>
    <w:rsid w:val="00024F9B"/>
    <w:rsid w:val="000303BE"/>
    <w:rsid w:val="00031E36"/>
    <w:rsid w:val="0003247C"/>
    <w:rsid w:val="000420E9"/>
    <w:rsid w:val="00042A79"/>
    <w:rsid w:val="000452E3"/>
    <w:rsid w:val="00076B2C"/>
    <w:rsid w:val="000823B1"/>
    <w:rsid w:val="000C0055"/>
    <w:rsid w:val="000C792A"/>
    <w:rsid w:val="000E3B77"/>
    <w:rsid w:val="000E4D9B"/>
    <w:rsid w:val="000E684B"/>
    <w:rsid w:val="000E73DE"/>
    <w:rsid w:val="00135A91"/>
    <w:rsid w:val="001402E0"/>
    <w:rsid w:val="00151C05"/>
    <w:rsid w:val="001557FB"/>
    <w:rsid w:val="00163B35"/>
    <w:rsid w:val="001A5B6F"/>
    <w:rsid w:val="001A5F5A"/>
    <w:rsid w:val="001F4A3D"/>
    <w:rsid w:val="0020785D"/>
    <w:rsid w:val="0023153B"/>
    <w:rsid w:val="00246F58"/>
    <w:rsid w:val="0026451F"/>
    <w:rsid w:val="002802B8"/>
    <w:rsid w:val="002924C8"/>
    <w:rsid w:val="002A74C2"/>
    <w:rsid w:val="002A7B7E"/>
    <w:rsid w:val="002B572D"/>
    <w:rsid w:val="002F5FCC"/>
    <w:rsid w:val="002F65F1"/>
    <w:rsid w:val="002F6B68"/>
    <w:rsid w:val="00311312"/>
    <w:rsid w:val="00332E64"/>
    <w:rsid w:val="003621EF"/>
    <w:rsid w:val="0039653D"/>
    <w:rsid w:val="003A318C"/>
    <w:rsid w:val="003B5CE2"/>
    <w:rsid w:val="003E4638"/>
    <w:rsid w:val="003F32BE"/>
    <w:rsid w:val="003F35CD"/>
    <w:rsid w:val="003F750F"/>
    <w:rsid w:val="00404292"/>
    <w:rsid w:val="00414B17"/>
    <w:rsid w:val="00425015"/>
    <w:rsid w:val="00456158"/>
    <w:rsid w:val="00463390"/>
    <w:rsid w:val="00467908"/>
    <w:rsid w:val="004866C9"/>
    <w:rsid w:val="00486D45"/>
    <w:rsid w:val="00487891"/>
    <w:rsid w:val="004922D8"/>
    <w:rsid w:val="004B2FD7"/>
    <w:rsid w:val="004F335F"/>
    <w:rsid w:val="00504228"/>
    <w:rsid w:val="005137F5"/>
    <w:rsid w:val="00530625"/>
    <w:rsid w:val="00531585"/>
    <w:rsid w:val="0055125A"/>
    <w:rsid w:val="00581AB5"/>
    <w:rsid w:val="005831DC"/>
    <w:rsid w:val="0059042E"/>
    <w:rsid w:val="005917FB"/>
    <w:rsid w:val="005A7C51"/>
    <w:rsid w:val="005F2A7F"/>
    <w:rsid w:val="00605F71"/>
    <w:rsid w:val="00612028"/>
    <w:rsid w:val="0062095C"/>
    <w:rsid w:val="006364C5"/>
    <w:rsid w:val="00650EF6"/>
    <w:rsid w:val="006559AF"/>
    <w:rsid w:val="00656D89"/>
    <w:rsid w:val="0067374E"/>
    <w:rsid w:val="00673E6C"/>
    <w:rsid w:val="006844D7"/>
    <w:rsid w:val="006A205C"/>
    <w:rsid w:val="006A66CD"/>
    <w:rsid w:val="006D469C"/>
    <w:rsid w:val="006F29BD"/>
    <w:rsid w:val="006F2C03"/>
    <w:rsid w:val="00704BE4"/>
    <w:rsid w:val="007145DF"/>
    <w:rsid w:val="00732C9B"/>
    <w:rsid w:val="00734D31"/>
    <w:rsid w:val="007435F3"/>
    <w:rsid w:val="0076234F"/>
    <w:rsid w:val="00780864"/>
    <w:rsid w:val="00797770"/>
    <w:rsid w:val="007A7637"/>
    <w:rsid w:val="007B3327"/>
    <w:rsid w:val="007B51EF"/>
    <w:rsid w:val="007E311C"/>
    <w:rsid w:val="007E4B2F"/>
    <w:rsid w:val="00801D1A"/>
    <w:rsid w:val="00810323"/>
    <w:rsid w:val="008218E6"/>
    <w:rsid w:val="0082550F"/>
    <w:rsid w:val="00841BC6"/>
    <w:rsid w:val="00855285"/>
    <w:rsid w:val="008604F6"/>
    <w:rsid w:val="008668C4"/>
    <w:rsid w:val="00881557"/>
    <w:rsid w:val="00885F72"/>
    <w:rsid w:val="00892638"/>
    <w:rsid w:val="008A26EC"/>
    <w:rsid w:val="008B4CC4"/>
    <w:rsid w:val="008F660E"/>
    <w:rsid w:val="008F6E70"/>
    <w:rsid w:val="00907151"/>
    <w:rsid w:val="00907F87"/>
    <w:rsid w:val="00920CB3"/>
    <w:rsid w:val="00925CBA"/>
    <w:rsid w:val="00961A2B"/>
    <w:rsid w:val="00966A74"/>
    <w:rsid w:val="00972D70"/>
    <w:rsid w:val="009877CC"/>
    <w:rsid w:val="00994619"/>
    <w:rsid w:val="009A5419"/>
    <w:rsid w:val="009E14F5"/>
    <w:rsid w:val="009F04E9"/>
    <w:rsid w:val="009F39F1"/>
    <w:rsid w:val="00A03D52"/>
    <w:rsid w:val="00A122D4"/>
    <w:rsid w:val="00A42A45"/>
    <w:rsid w:val="00A466C5"/>
    <w:rsid w:val="00A7576F"/>
    <w:rsid w:val="00A80EC6"/>
    <w:rsid w:val="00AB0E39"/>
    <w:rsid w:val="00AB5068"/>
    <w:rsid w:val="00AC38E2"/>
    <w:rsid w:val="00AC66D4"/>
    <w:rsid w:val="00AD5C2C"/>
    <w:rsid w:val="00AE239E"/>
    <w:rsid w:val="00AF56D1"/>
    <w:rsid w:val="00B4699F"/>
    <w:rsid w:val="00B61053"/>
    <w:rsid w:val="00B630BC"/>
    <w:rsid w:val="00B662A1"/>
    <w:rsid w:val="00B67E6D"/>
    <w:rsid w:val="00B756B5"/>
    <w:rsid w:val="00B91A39"/>
    <w:rsid w:val="00B94B11"/>
    <w:rsid w:val="00BA6F80"/>
    <w:rsid w:val="00BB38EF"/>
    <w:rsid w:val="00BB6FDE"/>
    <w:rsid w:val="00BC1C99"/>
    <w:rsid w:val="00BE04B9"/>
    <w:rsid w:val="00BE7687"/>
    <w:rsid w:val="00C16E22"/>
    <w:rsid w:val="00C17CC0"/>
    <w:rsid w:val="00C2704A"/>
    <w:rsid w:val="00C33B31"/>
    <w:rsid w:val="00C43ED9"/>
    <w:rsid w:val="00C5321C"/>
    <w:rsid w:val="00C64B93"/>
    <w:rsid w:val="00C71EF0"/>
    <w:rsid w:val="00C73A03"/>
    <w:rsid w:val="00C74DFD"/>
    <w:rsid w:val="00C80E8C"/>
    <w:rsid w:val="00C8682E"/>
    <w:rsid w:val="00CA64A1"/>
    <w:rsid w:val="00CC0AF0"/>
    <w:rsid w:val="00CF51A6"/>
    <w:rsid w:val="00CF675A"/>
    <w:rsid w:val="00CF769C"/>
    <w:rsid w:val="00D17553"/>
    <w:rsid w:val="00D20D6F"/>
    <w:rsid w:val="00D31375"/>
    <w:rsid w:val="00D55BC2"/>
    <w:rsid w:val="00D613FD"/>
    <w:rsid w:val="00D85439"/>
    <w:rsid w:val="00D85D75"/>
    <w:rsid w:val="00D93D1E"/>
    <w:rsid w:val="00D9778D"/>
    <w:rsid w:val="00DA334A"/>
    <w:rsid w:val="00DA4FD3"/>
    <w:rsid w:val="00DB28D3"/>
    <w:rsid w:val="00DC0C88"/>
    <w:rsid w:val="00DD7425"/>
    <w:rsid w:val="00DE1AD1"/>
    <w:rsid w:val="00DE4C4B"/>
    <w:rsid w:val="00DF0A0A"/>
    <w:rsid w:val="00E17A0D"/>
    <w:rsid w:val="00E22E84"/>
    <w:rsid w:val="00E528E6"/>
    <w:rsid w:val="00E71F04"/>
    <w:rsid w:val="00E87434"/>
    <w:rsid w:val="00EA109A"/>
    <w:rsid w:val="00EA60E8"/>
    <w:rsid w:val="00ED3820"/>
    <w:rsid w:val="00ED3DAA"/>
    <w:rsid w:val="00EE073B"/>
    <w:rsid w:val="00F035F8"/>
    <w:rsid w:val="00F11D98"/>
    <w:rsid w:val="00F21EE0"/>
    <w:rsid w:val="00F22EAB"/>
    <w:rsid w:val="00F4760C"/>
    <w:rsid w:val="00F50849"/>
    <w:rsid w:val="00F523F1"/>
    <w:rsid w:val="00F60EBD"/>
    <w:rsid w:val="00F805E9"/>
    <w:rsid w:val="00FA31E4"/>
    <w:rsid w:val="00FA4E6D"/>
    <w:rsid w:val="00FB5025"/>
    <w:rsid w:val="00FB672C"/>
    <w:rsid w:val="00FC7273"/>
    <w:rsid w:val="00FD609C"/>
    <w:rsid w:val="00FE4CDC"/>
    <w:rsid w:val="00FE5D5F"/>
    <w:rsid w:val="00FF5F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111D"/>
  <w15:chartTrackingRefBased/>
  <w15:docId w15:val="{EDB8BAA1-B568-418E-85F4-F720E745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49"/>
    <w:rPr>
      <w:rFonts w:ascii="Garamond" w:hAnsi="Garamon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tuloManual">
    <w:name w:val="Capítulo Manual"/>
    <w:basedOn w:val="Normal"/>
    <w:link w:val="CaptuloManualChar"/>
    <w:qFormat/>
    <w:rsid w:val="00FB672C"/>
    <w:pPr>
      <w:spacing w:after="0" w:line="360" w:lineRule="auto"/>
      <w:jc w:val="center"/>
    </w:pPr>
    <w:rPr>
      <w:b/>
      <w:smallCaps/>
      <w:szCs w:val="24"/>
    </w:rPr>
  </w:style>
  <w:style w:type="paragraph" w:customStyle="1" w:styleId="SubcaptuloManual">
    <w:name w:val="Subcapítulo Manual"/>
    <w:basedOn w:val="Normal"/>
    <w:link w:val="SubcaptuloManualChar"/>
    <w:qFormat/>
    <w:rsid w:val="00FB672C"/>
    <w:pPr>
      <w:spacing w:after="0" w:line="360" w:lineRule="auto"/>
      <w:jc w:val="both"/>
    </w:pPr>
    <w:rPr>
      <w:b/>
      <w:smallCaps/>
      <w:szCs w:val="24"/>
    </w:rPr>
  </w:style>
  <w:style w:type="character" w:customStyle="1" w:styleId="CaptuloManualChar">
    <w:name w:val="Capítulo Manual Char"/>
    <w:basedOn w:val="Fontepargpadro"/>
    <w:link w:val="CaptuloManual"/>
    <w:rsid w:val="00FB672C"/>
    <w:rPr>
      <w:rFonts w:ascii="Garamond" w:hAnsi="Garamond"/>
      <w:b/>
      <w:smallCaps/>
      <w:sz w:val="24"/>
      <w:szCs w:val="24"/>
    </w:rPr>
  </w:style>
  <w:style w:type="character" w:customStyle="1" w:styleId="SubcaptuloManualChar">
    <w:name w:val="Subcapítulo Manual Char"/>
    <w:basedOn w:val="Fontepargpadro"/>
    <w:link w:val="SubcaptuloManual"/>
    <w:rsid w:val="00FB672C"/>
    <w:rPr>
      <w:rFonts w:ascii="Garamond" w:hAnsi="Garamond"/>
      <w:b/>
      <w:smallCaps/>
      <w:sz w:val="24"/>
      <w:szCs w:val="24"/>
    </w:rPr>
  </w:style>
  <w:style w:type="paragraph" w:styleId="PargrafodaLista">
    <w:name w:val="List Paragraph"/>
    <w:basedOn w:val="Normal"/>
    <w:uiPriority w:val="34"/>
    <w:qFormat/>
    <w:rsid w:val="00FB672C"/>
    <w:pPr>
      <w:ind w:left="720"/>
      <w:contextualSpacing/>
    </w:pPr>
  </w:style>
  <w:style w:type="paragraph" w:styleId="Textodebalo">
    <w:name w:val="Balloon Text"/>
    <w:basedOn w:val="Normal"/>
    <w:link w:val="TextodebaloChar"/>
    <w:uiPriority w:val="99"/>
    <w:semiHidden/>
    <w:unhideWhenUsed/>
    <w:rsid w:val="001A5F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5F5A"/>
    <w:rPr>
      <w:rFonts w:ascii="Segoe UI" w:hAnsi="Segoe UI" w:cs="Segoe UI"/>
      <w:sz w:val="18"/>
      <w:szCs w:val="18"/>
    </w:rPr>
  </w:style>
  <w:style w:type="paragraph" w:customStyle="1" w:styleId="TEXTO">
    <w:name w:val="TEXTO"/>
    <w:basedOn w:val="Normal"/>
    <w:uiPriority w:val="99"/>
    <w:rsid w:val="00AB0E39"/>
    <w:pPr>
      <w:spacing w:before="100" w:beforeAutospacing="1" w:after="100" w:afterAutospacing="1" w:line="240" w:lineRule="auto"/>
      <w:jc w:val="both"/>
    </w:pPr>
    <w:rPr>
      <w:rFonts w:ascii="Candara" w:eastAsia="Calibri" w:hAnsi="Candara" w:cs="Times New Roman"/>
      <w:szCs w:val="20"/>
    </w:rPr>
  </w:style>
  <w:style w:type="paragraph" w:customStyle="1" w:styleId="EstiloLatimCandaraJustificadoDepoisde0ptEspaamentoe">
    <w:name w:val="Estilo (Latim) Candara Justificado Depois de:  0 pt Espaçamento e..."/>
    <w:basedOn w:val="Normal"/>
    <w:uiPriority w:val="99"/>
    <w:rsid w:val="00AB0E39"/>
    <w:pPr>
      <w:numPr>
        <w:numId w:val="3"/>
      </w:numPr>
      <w:spacing w:before="480" w:after="480" w:line="320" w:lineRule="exact"/>
      <w:jc w:val="both"/>
    </w:pPr>
    <w:rPr>
      <w:rFonts w:ascii="Candara" w:eastAsia="Calibri" w:hAnsi="Candara" w:cs="Times New Roman"/>
      <w:szCs w:val="20"/>
    </w:rPr>
  </w:style>
  <w:style w:type="paragraph" w:styleId="Cabealho">
    <w:name w:val="header"/>
    <w:basedOn w:val="Normal"/>
    <w:link w:val="CabealhoChar"/>
    <w:uiPriority w:val="99"/>
    <w:unhideWhenUsed/>
    <w:rsid w:val="001F4A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4A3D"/>
    <w:rPr>
      <w:rFonts w:ascii="Garamond" w:hAnsi="Garamond"/>
      <w:sz w:val="24"/>
    </w:rPr>
  </w:style>
  <w:style w:type="paragraph" w:styleId="Rodap">
    <w:name w:val="footer"/>
    <w:basedOn w:val="Normal"/>
    <w:link w:val="RodapChar"/>
    <w:uiPriority w:val="99"/>
    <w:unhideWhenUsed/>
    <w:rsid w:val="001F4A3D"/>
    <w:pPr>
      <w:tabs>
        <w:tab w:val="center" w:pos="4252"/>
        <w:tab w:val="right" w:pos="8504"/>
      </w:tabs>
      <w:spacing w:after="0" w:line="240" w:lineRule="auto"/>
    </w:pPr>
  </w:style>
  <w:style w:type="character" w:customStyle="1" w:styleId="RodapChar">
    <w:name w:val="Rodapé Char"/>
    <w:basedOn w:val="Fontepargpadro"/>
    <w:link w:val="Rodap"/>
    <w:uiPriority w:val="99"/>
    <w:rsid w:val="001F4A3D"/>
    <w:rPr>
      <w:rFonts w:ascii="Garamond" w:hAnsi="Garamond"/>
      <w:sz w:val="24"/>
    </w:rPr>
  </w:style>
  <w:style w:type="character" w:styleId="Refdecomentrio">
    <w:name w:val="annotation reference"/>
    <w:basedOn w:val="Fontepargpadro"/>
    <w:uiPriority w:val="99"/>
    <w:semiHidden/>
    <w:unhideWhenUsed/>
    <w:rsid w:val="00C74DFD"/>
    <w:rPr>
      <w:sz w:val="16"/>
      <w:szCs w:val="16"/>
    </w:rPr>
  </w:style>
  <w:style w:type="paragraph" w:styleId="Textodecomentrio">
    <w:name w:val="annotation text"/>
    <w:basedOn w:val="Normal"/>
    <w:link w:val="TextodecomentrioChar"/>
    <w:uiPriority w:val="99"/>
    <w:unhideWhenUsed/>
    <w:rsid w:val="00C74DFD"/>
    <w:pPr>
      <w:spacing w:line="240" w:lineRule="auto"/>
    </w:pPr>
    <w:rPr>
      <w:sz w:val="20"/>
      <w:szCs w:val="20"/>
    </w:rPr>
  </w:style>
  <w:style w:type="character" w:customStyle="1" w:styleId="TextodecomentrioChar">
    <w:name w:val="Texto de comentário Char"/>
    <w:basedOn w:val="Fontepargpadro"/>
    <w:link w:val="Textodecomentrio"/>
    <w:uiPriority w:val="99"/>
    <w:rsid w:val="00C74DFD"/>
    <w:rPr>
      <w:rFonts w:ascii="Garamond" w:hAnsi="Garamond"/>
      <w:sz w:val="20"/>
      <w:szCs w:val="20"/>
    </w:rPr>
  </w:style>
  <w:style w:type="paragraph" w:styleId="Assuntodocomentrio">
    <w:name w:val="annotation subject"/>
    <w:basedOn w:val="Textodecomentrio"/>
    <w:next w:val="Textodecomentrio"/>
    <w:link w:val="AssuntodocomentrioChar"/>
    <w:uiPriority w:val="99"/>
    <w:semiHidden/>
    <w:unhideWhenUsed/>
    <w:rsid w:val="00C74DFD"/>
    <w:rPr>
      <w:b/>
      <w:bCs/>
    </w:rPr>
  </w:style>
  <w:style w:type="character" w:customStyle="1" w:styleId="AssuntodocomentrioChar">
    <w:name w:val="Assunto do comentário Char"/>
    <w:basedOn w:val="TextodecomentrioChar"/>
    <w:link w:val="Assuntodocomentrio"/>
    <w:uiPriority w:val="99"/>
    <w:semiHidden/>
    <w:rsid w:val="00C74DFD"/>
    <w:rPr>
      <w:rFonts w:ascii="Garamond" w:hAnsi="Garamond"/>
      <w:b/>
      <w:bCs/>
      <w:sz w:val="20"/>
      <w:szCs w:val="20"/>
    </w:rPr>
  </w:style>
  <w:style w:type="paragraph" w:styleId="Reviso">
    <w:name w:val="Revision"/>
    <w:hidden/>
    <w:uiPriority w:val="99"/>
    <w:semiHidden/>
    <w:rsid w:val="00AC38E2"/>
    <w:pPr>
      <w:spacing w:after="0" w:line="240" w:lineRule="auto"/>
    </w:pPr>
    <w:rPr>
      <w:rFonts w:ascii="Garamond" w:hAnsi="Garamond"/>
      <w:sz w:val="24"/>
    </w:rPr>
  </w:style>
  <w:style w:type="table" w:styleId="Tabelacomgrade">
    <w:name w:val="Table Grid"/>
    <w:basedOn w:val="Tabelanormal"/>
    <w:uiPriority w:val="39"/>
    <w:rsid w:val="00264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73304">
      <w:bodyDiv w:val="1"/>
      <w:marLeft w:val="0"/>
      <w:marRight w:val="0"/>
      <w:marTop w:val="0"/>
      <w:marBottom w:val="0"/>
      <w:divBdr>
        <w:top w:val="none" w:sz="0" w:space="0" w:color="auto"/>
        <w:left w:val="none" w:sz="0" w:space="0" w:color="auto"/>
        <w:bottom w:val="none" w:sz="0" w:space="0" w:color="auto"/>
        <w:right w:val="none" w:sz="0" w:space="0" w:color="auto"/>
      </w:divBdr>
    </w:div>
    <w:div w:id="900671496">
      <w:bodyDiv w:val="1"/>
      <w:marLeft w:val="0"/>
      <w:marRight w:val="0"/>
      <w:marTop w:val="0"/>
      <w:marBottom w:val="0"/>
      <w:divBdr>
        <w:top w:val="none" w:sz="0" w:space="0" w:color="auto"/>
        <w:left w:val="none" w:sz="0" w:space="0" w:color="auto"/>
        <w:bottom w:val="none" w:sz="0" w:space="0" w:color="auto"/>
        <w:right w:val="none" w:sz="0" w:space="0" w:color="auto"/>
      </w:divBdr>
    </w:div>
    <w:div w:id="1263732475">
      <w:bodyDiv w:val="1"/>
      <w:marLeft w:val="0"/>
      <w:marRight w:val="0"/>
      <w:marTop w:val="0"/>
      <w:marBottom w:val="0"/>
      <w:divBdr>
        <w:top w:val="none" w:sz="0" w:space="0" w:color="auto"/>
        <w:left w:val="none" w:sz="0" w:space="0" w:color="auto"/>
        <w:bottom w:val="none" w:sz="0" w:space="0" w:color="auto"/>
        <w:right w:val="none" w:sz="0" w:space="0" w:color="auto"/>
      </w:divBdr>
    </w:div>
    <w:div w:id="16838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D6EAB651B7143AAAE5F03B02DD12D" ma:contentTypeVersion="16" ma:contentTypeDescription="Create a new document." ma:contentTypeScope="" ma:versionID="8b662ee6b3933912a7997584152a6086">
  <xsd:schema xmlns:xsd="http://www.w3.org/2001/XMLSchema" xmlns:xs="http://www.w3.org/2001/XMLSchema" xmlns:p="http://schemas.microsoft.com/office/2006/metadata/properties" xmlns:ns2="5d3e3bc6-d1c8-480e-b36a-c1cec83d8cb0" xmlns:ns3="5072f70e-fb31-4d53-941a-c07cefbe5385" targetNamespace="http://schemas.microsoft.com/office/2006/metadata/properties" ma:root="true" ma:fieldsID="c0127cc7e863e58e5612a3759c5d79ee" ns2:_="" ns3:_="">
    <xsd:import namespace="5d3e3bc6-d1c8-480e-b36a-c1cec83d8cb0"/>
    <xsd:import namespace="5072f70e-fb31-4d53-941a-c07cefbe53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e3bc6-d1c8-480e-b36a-c1cec83d8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27f9f2-6d59-4d0f-811f-0f19f1663c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2f70e-fb31-4d53-941a-c07cefbe53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68e769-5603-4409-8e06-5624af5517a8}" ma:internalName="TaxCatchAll" ma:showField="CatchAllData" ma:web="5072f70e-fb31-4d53-941a-c07cefbe5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3e3bc6-d1c8-480e-b36a-c1cec83d8cb0">
      <Terms xmlns="http://schemas.microsoft.com/office/infopath/2007/PartnerControls"/>
    </lcf76f155ced4ddcb4097134ff3c332f>
    <TaxCatchAll xmlns="5072f70e-fb31-4d53-941a-c07cefbe53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36582-D99C-4D27-961B-DEC72FA0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e3bc6-d1c8-480e-b36a-c1cec83d8cb0"/>
    <ds:schemaRef ds:uri="5072f70e-fb31-4d53-941a-c07cefbe5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557AC-DA62-4B46-A978-0577DFF51999}">
  <ds:schemaRefs>
    <ds:schemaRef ds:uri="http://schemas.microsoft.com/office/2006/metadata/properties"/>
    <ds:schemaRef ds:uri="http://schemas.microsoft.com/office/infopath/2007/PartnerControls"/>
    <ds:schemaRef ds:uri="765fd443-5df4-4590-a779-3bed573741a7"/>
    <ds:schemaRef ds:uri="f12dc581-487f-49b7-9990-855115e15d08"/>
    <ds:schemaRef ds:uri="5d3e3bc6-d1c8-480e-b36a-c1cec83d8cb0"/>
    <ds:schemaRef ds:uri="5072f70e-fb31-4d53-941a-c07cefbe5385"/>
  </ds:schemaRefs>
</ds:datastoreItem>
</file>

<file path=customXml/itemProps3.xml><?xml version="1.0" encoding="utf-8"?>
<ds:datastoreItem xmlns:ds="http://schemas.openxmlformats.org/officeDocument/2006/customXml" ds:itemID="{2DDDE112-033C-41ED-97F7-C90DCFE03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11530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Maciel Roliz</dc:creator>
  <cp:keywords/>
  <dc:description/>
  <cp:lastModifiedBy>Pamella Mainente Angelo</cp:lastModifiedBy>
  <cp:revision>2</cp:revision>
  <dcterms:created xsi:type="dcterms:W3CDTF">2025-09-15T17:04:00Z</dcterms:created>
  <dcterms:modified xsi:type="dcterms:W3CDTF">2025-09-15T17:04:00Z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0x010100666D6EAB651B7143AAAE5F03B02DD12D</vt:lpwstr>
  </property>
  <property fmtid="{D5CDD505-2E9C-101B-9397-08002B2CF9AE}" pid="3" name="MediaServiceImageTags">
    <vt:lpwstr/>
  </property>
</Properties>
</file>